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F8F" w:rsidRPr="004C3F8F" w:rsidRDefault="004C3F8F" w:rsidP="004C3F8F">
      <w:pPr>
        <w:spacing w:after="0" w:line="240" w:lineRule="auto"/>
        <w:ind w:left="720"/>
        <w:jc w:val="center"/>
        <w:rPr>
          <w:rFonts w:asciiTheme="majorBidi" w:eastAsiaTheme="minorEastAsia" w:hAnsiTheme="majorBidi" w:cstheme="majorBidi"/>
          <w:b/>
          <w:bCs/>
          <w:noProof w:val="0"/>
          <w:sz w:val="28"/>
          <w:szCs w:val="28"/>
        </w:rPr>
      </w:pPr>
      <w:r w:rsidRPr="004C3F8F">
        <w:rPr>
          <w:rFonts w:asciiTheme="majorBidi" w:eastAsiaTheme="minorEastAsia" w:hAnsiTheme="majorBidi" w:cstheme="majorBidi"/>
          <w:b/>
          <w:bCs/>
          <w:noProof w:val="0"/>
          <w:sz w:val="28"/>
          <w:szCs w:val="28"/>
        </w:rPr>
        <w:t>Looking East: Oman’s trade integration in the Indian Ocean Rim Association (IORA)</w:t>
      </w:r>
    </w:p>
    <w:p w:rsidR="004C3F8F" w:rsidRPr="004C3F8F" w:rsidRDefault="004C3F8F" w:rsidP="004C3F8F">
      <w:pPr>
        <w:spacing w:after="0" w:line="240" w:lineRule="auto"/>
        <w:ind w:left="720"/>
        <w:rPr>
          <w:rFonts w:eastAsiaTheme="minorEastAsia" w:cs="Arial"/>
          <w:b/>
          <w:bCs/>
          <w:noProof w:val="0"/>
          <w:sz w:val="24"/>
          <w:szCs w:val="24"/>
        </w:rPr>
      </w:pPr>
    </w:p>
    <w:p w:rsidR="004C3F8F" w:rsidRPr="004C3F8F" w:rsidRDefault="004C3F8F" w:rsidP="004C3F8F">
      <w:pPr>
        <w:jc w:val="center"/>
        <w:rPr>
          <w:rFonts w:asciiTheme="majorBidi" w:hAnsiTheme="majorBidi" w:cstheme="majorBidi"/>
          <w:b/>
          <w:sz w:val="24"/>
          <w:szCs w:val="24"/>
        </w:rPr>
      </w:pPr>
      <w:r w:rsidRPr="004C3F8F">
        <w:rPr>
          <w:rFonts w:asciiTheme="majorBidi" w:hAnsiTheme="majorBidi" w:cstheme="majorBidi"/>
          <w:b/>
          <w:sz w:val="24"/>
          <w:szCs w:val="24"/>
        </w:rPr>
        <w:t xml:space="preserve">Abdallah Akintola, </w:t>
      </w:r>
      <w:r w:rsidRPr="004C3F8F">
        <w:rPr>
          <w:rFonts w:asciiTheme="majorBidi" w:hAnsiTheme="majorBidi" w:cstheme="majorBidi"/>
          <w:sz w:val="24"/>
          <w:szCs w:val="24"/>
          <w:vertAlign w:val="superscript"/>
        </w:rPr>
        <w:t xml:space="preserve"> </w:t>
      </w:r>
      <w:r w:rsidRPr="004C3F8F">
        <w:rPr>
          <w:rFonts w:asciiTheme="majorBidi" w:hAnsiTheme="majorBidi" w:cstheme="majorBidi"/>
          <w:b/>
          <w:sz w:val="24"/>
          <w:szCs w:val="24"/>
        </w:rPr>
        <w:t xml:space="preserve">Houcine Boughanmi* </w:t>
      </w:r>
      <w:r w:rsidRPr="004C3F8F">
        <w:rPr>
          <w:rFonts w:asciiTheme="majorBidi" w:hAnsiTheme="majorBidi" w:cstheme="majorBidi"/>
          <w:b/>
          <w:sz w:val="24"/>
          <w:szCs w:val="24"/>
          <w:vertAlign w:val="superscript"/>
        </w:rPr>
        <w:t xml:space="preserve"> </w:t>
      </w:r>
      <w:r w:rsidRPr="004C3F8F">
        <w:rPr>
          <w:rFonts w:asciiTheme="majorBidi" w:hAnsiTheme="majorBidi" w:cstheme="majorBidi"/>
          <w:b/>
          <w:sz w:val="24"/>
          <w:szCs w:val="24"/>
        </w:rPr>
        <w:t xml:space="preserve">, Hemesiri Kotagama  and </w:t>
      </w:r>
      <w:r w:rsidRPr="004C3F8F">
        <w:rPr>
          <w:rFonts w:asciiTheme="majorBidi" w:hAnsiTheme="majorBidi" w:cstheme="majorBidi"/>
          <w:b/>
          <w:sz w:val="24"/>
          <w:szCs w:val="24"/>
          <w:vertAlign w:val="superscript"/>
        </w:rPr>
        <w:t xml:space="preserve"> </w:t>
      </w:r>
      <w:r w:rsidRPr="004C3F8F">
        <w:rPr>
          <w:rFonts w:asciiTheme="majorBidi" w:hAnsiTheme="majorBidi" w:cstheme="majorBidi"/>
          <w:b/>
          <w:sz w:val="24"/>
          <w:szCs w:val="24"/>
        </w:rPr>
        <w:t xml:space="preserve">Lokman Zaibet </w:t>
      </w:r>
    </w:p>
    <w:p w:rsidR="004C3F8F" w:rsidRPr="004C3F8F" w:rsidRDefault="004C3F8F" w:rsidP="004C3F8F">
      <w:pPr>
        <w:spacing w:after="0"/>
        <w:rPr>
          <w:rFonts w:asciiTheme="majorBidi" w:hAnsiTheme="majorBidi" w:cstheme="majorBidi"/>
          <w:sz w:val="24"/>
          <w:szCs w:val="24"/>
        </w:rPr>
      </w:pPr>
    </w:p>
    <w:p w:rsidR="004C3F8F" w:rsidRPr="004C3F8F" w:rsidRDefault="004C3F8F" w:rsidP="004C3F8F">
      <w:pPr>
        <w:spacing w:after="0"/>
        <w:rPr>
          <w:rFonts w:asciiTheme="majorBidi" w:hAnsiTheme="majorBidi" w:cstheme="majorBidi"/>
          <w:sz w:val="24"/>
          <w:szCs w:val="24"/>
        </w:rPr>
      </w:pPr>
    </w:p>
    <w:p w:rsidR="004C3F8F" w:rsidRPr="004C3F8F" w:rsidRDefault="004C3F8F" w:rsidP="004C3F8F">
      <w:pPr>
        <w:spacing w:after="0"/>
        <w:rPr>
          <w:rFonts w:asciiTheme="majorBidi" w:hAnsiTheme="majorBidi" w:cstheme="majorBidi"/>
          <w:sz w:val="24"/>
          <w:szCs w:val="24"/>
        </w:rPr>
      </w:pPr>
    </w:p>
    <w:p w:rsidR="004C3F8F" w:rsidRPr="004C3F8F" w:rsidRDefault="004C3F8F" w:rsidP="004C3F8F">
      <w:pPr>
        <w:numPr>
          <w:ilvl w:val="0"/>
          <w:numId w:val="20"/>
        </w:numPr>
        <w:spacing w:after="0"/>
        <w:contextualSpacing/>
        <w:rPr>
          <w:rFonts w:asciiTheme="majorBidi" w:hAnsiTheme="majorBidi" w:cstheme="majorBidi"/>
        </w:rPr>
      </w:pPr>
      <w:r w:rsidRPr="004C3F8F">
        <w:rPr>
          <w:rFonts w:asciiTheme="majorBidi" w:hAnsiTheme="majorBidi" w:cstheme="majorBidi"/>
        </w:rPr>
        <w:t xml:space="preserve">Abdallah Akintola: PhD student, Department of Natural Resource Economics, College of Agricultutal and Marine Sciences, </w:t>
      </w:r>
      <w:r w:rsidRPr="004C3F8F">
        <w:rPr>
          <w:rFonts w:asciiTheme="majorBidi" w:eastAsia="Times" w:hAnsiTheme="majorBidi" w:cstheme="majorBidi"/>
          <w:color w:val="000000"/>
        </w:rPr>
        <w:t>PO</w:t>
      </w:r>
      <w:r w:rsidRPr="004C3F8F">
        <w:rPr>
          <w:rFonts w:asciiTheme="majorBidi" w:hAnsiTheme="majorBidi" w:cstheme="majorBidi"/>
        </w:rPr>
        <w:t xml:space="preserve"> </w:t>
      </w:r>
      <w:r w:rsidRPr="004C3F8F">
        <w:rPr>
          <w:rFonts w:asciiTheme="majorBidi" w:eastAsia="Times" w:hAnsiTheme="majorBidi" w:cstheme="majorBidi"/>
          <w:color w:val="000000"/>
        </w:rPr>
        <w:t>Box:34</w:t>
      </w:r>
      <w:r w:rsidRPr="004C3F8F">
        <w:rPr>
          <w:rFonts w:asciiTheme="majorBidi" w:hAnsiTheme="majorBidi" w:cstheme="majorBidi"/>
        </w:rPr>
        <w:t xml:space="preserve"> </w:t>
      </w:r>
      <w:r w:rsidRPr="004C3F8F">
        <w:rPr>
          <w:rFonts w:asciiTheme="majorBidi" w:eastAsia="Times" w:hAnsiTheme="majorBidi" w:cstheme="majorBidi"/>
          <w:color w:val="000000"/>
        </w:rPr>
        <w:t>Al</w:t>
      </w:r>
      <w:r w:rsidRPr="004C3F8F">
        <w:rPr>
          <w:rFonts w:asciiTheme="majorBidi" w:hAnsiTheme="majorBidi" w:cstheme="majorBidi"/>
        </w:rPr>
        <w:t xml:space="preserve"> </w:t>
      </w:r>
      <w:r w:rsidRPr="004C3F8F">
        <w:rPr>
          <w:rFonts w:asciiTheme="majorBidi" w:eastAsia="Times" w:hAnsiTheme="majorBidi" w:cstheme="majorBidi"/>
          <w:color w:val="000000"/>
        </w:rPr>
        <w:t>Khod</w:t>
      </w:r>
      <w:r w:rsidRPr="004C3F8F">
        <w:rPr>
          <w:rFonts w:asciiTheme="majorBidi" w:hAnsiTheme="majorBidi" w:cstheme="majorBidi"/>
        </w:rPr>
        <w:t xml:space="preserve"> </w:t>
      </w:r>
      <w:r w:rsidRPr="004C3F8F">
        <w:rPr>
          <w:rFonts w:asciiTheme="majorBidi" w:eastAsia="Times" w:hAnsiTheme="majorBidi" w:cstheme="majorBidi"/>
          <w:color w:val="000000"/>
        </w:rPr>
        <w:t>123,</w:t>
      </w:r>
      <w:r w:rsidRPr="004C3F8F">
        <w:rPr>
          <w:rFonts w:asciiTheme="majorBidi" w:hAnsiTheme="majorBidi" w:cstheme="majorBidi"/>
        </w:rPr>
        <w:t xml:space="preserve"> </w:t>
      </w:r>
      <w:r w:rsidRPr="004C3F8F">
        <w:rPr>
          <w:rFonts w:asciiTheme="majorBidi" w:eastAsia="Times" w:hAnsiTheme="majorBidi" w:cstheme="majorBidi"/>
          <w:color w:val="000000"/>
        </w:rPr>
        <w:t>Sultanate</w:t>
      </w:r>
      <w:r w:rsidRPr="004C3F8F">
        <w:rPr>
          <w:rFonts w:asciiTheme="majorBidi" w:hAnsiTheme="majorBidi" w:cstheme="majorBidi"/>
        </w:rPr>
        <w:t xml:space="preserve"> </w:t>
      </w:r>
      <w:r w:rsidRPr="004C3F8F">
        <w:rPr>
          <w:rFonts w:asciiTheme="majorBidi" w:eastAsia="Times" w:hAnsiTheme="majorBidi" w:cstheme="majorBidi"/>
          <w:color w:val="000000"/>
        </w:rPr>
        <w:t>of</w:t>
      </w:r>
      <w:r w:rsidRPr="004C3F8F">
        <w:rPr>
          <w:rFonts w:asciiTheme="majorBidi" w:hAnsiTheme="majorBidi" w:cstheme="majorBidi"/>
        </w:rPr>
        <w:t xml:space="preserve"> </w:t>
      </w:r>
      <w:r w:rsidRPr="004C3F8F">
        <w:rPr>
          <w:rFonts w:asciiTheme="majorBidi" w:eastAsia="Times" w:hAnsiTheme="majorBidi" w:cstheme="majorBidi"/>
          <w:color w:val="000000"/>
        </w:rPr>
        <w:t>Oman. Email:</w:t>
      </w:r>
      <w:r w:rsidRPr="004C3F8F">
        <w:rPr>
          <w:rFonts w:asciiTheme="majorBidi" w:hAnsiTheme="majorBidi" w:cstheme="majorBidi"/>
        </w:rPr>
        <w:t xml:space="preserve"> </w:t>
      </w:r>
      <w:hyperlink r:id="rId9" w:history="1">
        <w:r w:rsidRPr="004C3F8F">
          <w:rPr>
            <w:rFonts w:asciiTheme="majorBidi" w:eastAsia="Times" w:hAnsiTheme="majorBidi" w:cstheme="majorBidi"/>
            <w:color w:val="0000FF" w:themeColor="hyperlink"/>
            <w:u w:val="single"/>
          </w:rPr>
          <w:t>bonjour3k5@gmail.com</w:t>
        </w:r>
      </w:hyperlink>
    </w:p>
    <w:p w:rsidR="004C3F8F" w:rsidRPr="004C3F8F" w:rsidRDefault="004C3F8F" w:rsidP="004C3F8F">
      <w:pPr>
        <w:numPr>
          <w:ilvl w:val="0"/>
          <w:numId w:val="20"/>
        </w:numPr>
        <w:spacing w:after="0"/>
        <w:contextualSpacing/>
        <w:rPr>
          <w:rFonts w:asciiTheme="majorBidi" w:eastAsia="Times" w:hAnsiTheme="majorBidi" w:cstheme="majorBidi"/>
          <w:color w:val="000000"/>
        </w:rPr>
      </w:pPr>
      <w:r w:rsidRPr="004C3F8F">
        <w:rPr>
          <w:rFonts w:asciiTheme="majorBidi" w:hAnsiTheme="majorBidi" w:cstheme="majorBidi"/>
        </w:rPr>
        <w:t xml:space="preserve"> </w:t>
      </w:r>
      <w:r w:rsidRPr="004C3F8F">
        <w:rPr>
          <w:rFonts w:asciiTheme="majorBidi" w:eastAsia="Times" w:hAnsiTheme="majorBidi" w:cstheme="majorBidi"/>
          <w:color w:val="000000"/>
        </w:rPr>
        <w:t>Houcine</w:t>
      </w:r>
      <w:r w:rsidRPr="004C3F8F">
        <w:rPr>
          <w:rFonts w:asciiTheme="majorBidi" w:hAnsiTheme="majorBidi" w:cstheme="majorBidi"/>
        </w:rPr>
        <w:t xml:space="preserve"> </w:t>
      </w:r>
      <w:r w:rsidRPr="004C3F8F">
        <w:rPr>
          <w:rFonts w:asciiTheme="majorBidi" w:eastAsia="Times" w:hAnsiTheme="majorBidi" w:cstheme="majorBidi"/>
          <w:color w:val="000000"/>
        </w:rPr>
        <w:t>Boughanmi (corresponding author),</w:t>
      </w:r>
      <w:r w:rsidRPr="004C3F8F">
        <w:rPr>
          <w:rFonts w:asciiTheme="majorBidi" w:hAnsiTheme="majorBidi" w:cstheme="majorBidi"/>
        </w:rPr>
        <w:t xml:space="preserve"> </w:t>
      </w:r>
      <w:r w:rsidRPr="004C3F8F">
        <w:rPr>
          <w:rFonts w:asciiTheme="majorBidi" w:eastAsia="Times" w:hAnsiTheme="majorBidi" w:cstheme="majorBidi"/>
          <w:color w:val="000000"/>
        </w:rPr>
        <w:t>Associate</w:t>
      </w:r>
      <w:r w:rsidRPr="004C3F8F">
        <w:rPr>
          <w:rFonts w:asciiTheme="majorBidi" w:hAnsiTheme="majorBidi" w:cstheme="majorBidi"/>
        </w:rPr>
        <w:t xml:space="preserve"> </w:t>
      </w:r>
      <w:r w:rsidRPr="004C3F8F">
        <w:rPr>
          <w:rFonts w:asciiTheme="majorBidi" w:eastAsia="Times" w:hAnsiTheme="majorBidi" w:cstheme="majorBidi"/>
          <w:color w:val="000000"/>
        </w:rPr>
        <w:t>Professor and WTO chair, Department</w:t>
      </w:r>
      <w:r w:rsidRPr="004C3F8F">
        <w:rPr>
          <w:rFonts w:asciiTheme="majorBidi" w:hAnsiTheme="majorBidi" w:cstheme="majorBidi"/>
        </w:rPr>
        <w:t xml:space="preserve"> </w:t>
      </w:r>
      <w:r w:rsidRPr="004C3F8F">
        <w:rPr>
          <w:rFonts w:asciiTheme="majorBidi" w:eastAsia="Times" w:hAnsiTheme="majorBidi" w:cstheme="majorBidi"/>
          <w:color w:val="000000"/>
        </w:rPr>
        <w:t>of</w:t>
      </w:r>
      <w:r w:rsidRPr="004C3F8F">
        <w:rPr>
          <w:rFonts w:asciiTheme="majorBidi" w:hAnsiTheme="majorBidi" w:cstheme="majorBidi"/>
        </w:rPr>
        <w:t xml:space="preserve"> Natural Resource Economics</w:t>
      </w:r>
      <w:r w:rsidRPr="004C3F8F">
        <w:rPr>
          <w:rFonts w:asciiTheme="majorBidi" w:eastAsia="Times" w:hAnsiTheme="majorBidi" w:cstheme="majorBidi"/>
          <w:color w:val="000000"/>
        </w:rPr>
        <w:t>,</w:t>
      </w:r>
      <w:r w:rsidRPr="004C3F8F">
        <w:rPr>
          <w:rFonts w:asciiTheme="majorBidi" w:hAnsiTheme="majorBidi" w:cstheme="majorBidi"/>
        </w:rPr>
        <w:t xml:space="preserve"> </w:t>
      </w:r>
      <w:r w:rsidRPr="004C3F8F">
        <w:rPr>
          <w:rFonts w:asciiTheme="majorBidi" w:eastAsia="Times" w:hAnsiTheme="majorBidi" w:cstheme="majorBidi"/>
          <w:color w:val="000000"/>
        </w:rPr>
        <w:t>College</w:t>
      </w:r>
      <w:r w:rsidRPr="004C3F8F">
        <w:rPr>
          <w:rFonts w:asciiTheme="majorBidi" w:hAnsiTheme="majorBidi" w:cstheme="majorBidi"/>
        </w:rPr>
        <w:t xml:space="preserve"> </w:t>
      </w:r>
      <w:r w:rsidRPr="004C3F8F">
        <w:rPr>
          <w:rFonts w:asciiTheme="majorBidi" w:eastAsia="Times" w:hAnsiTheme="majorBidi" w:cstheme="majorBidi"/>
          <w:color w:val="000000"/>
        </w:rPr>
        <w:t>of</w:t>
      </w:r>
      <w:r w:rsidRPr="004C3F8F">
        <w:rPr>
          <w:rFonts w:asciiTheme="majorBidi" w:hAnsiTheme="majorBidi" w:cstheme="majorBidi"/>
        </w:rPr>
        <w:t xml:space="preserve"> </w:t>
      </w:r>
      <w:r w:rsidRPr="004C3F8F">
        <w:rPr>
          <w:rFonts w:asciiTheme="majorBidi" w:eastAsia="Times" w:hAnsiTheme="majorBidi" w:cstheme="majorBidi"/>
          <w:color w:val="000000"/>
        </w:rPr>
        <w:t>Agricultural</w:t>
      </w:r>
      <w:r w:rsidRPr="004C3F8F">
        <w:rPr>
          <w:rFonts w:asciiTheme="majorBidi" w:hAnsiTheme="majorBidi" w:cstheme="majorBidi"/>
        </w:rPr>
        <w:t xml:space="preserve"> </w:t>
      </w:r>
      <w:r w:rsidRPr="004C3F8F">
        <w:rPr>
          <w:rFonts w:asciiTheme="majorBidi" w:eastAsia="Times" w:hAnsiTheme="majorBidi" w:cstheme="majorBidi"/>
          <w:color w:val="000000"/>
        </w:rPr>
        <w:t>and</w:t>
      </w:r>
      <w:r w:rsidRPr="004C3F8F">
        <w:rPr>
          <w:rFonts w:asciiTheme="majorBidi" w:hAnsiTheme="majorBidi" w:cstheme="majorBidi"/>
        </w:rPr>
        <w:t xml:space="preserve"> </w:t>
      </w:r>
      <w:r w:rsidRPr="004C3F8F">
        <w:rPr>
          <w:rFonts w:asciiTheme="majorBidi" w:eastAsia="Times" w:hAnsiTheme="majorBidi" w:cstheme="majorBidi"/>
          <w:color w:val="000000"/>
        </w:rPr>
        <w:t>Marine</w:t>
      </w:r>
      <w:r w:rsidRPr="004C3F8F">
        <w:rPr>
          <w:rFonts w:asciiTheme="majorBidi" w:hAnsiTheme="majorBidi" w:cstheme="majorBidi"/>
        </w:rPr>
        <w:t xml:space="preserve"> </w:t>
      </w:r>
      <w:r w:rsidRPr="004C3F8F">
        <w:rPr>
          <w:rFonts w:asciiTheme="majorBidi" w:eastAsia="Times" w:hAnsiTheme="majorBidi" w:cstheme="majorBidi"/>
          <w:color w:val="000000"/>
        </w:rPr>
        <w:t>Sciences ,</w:t>
      </w:r>
      <w:r w:rsidRPr="004C3F8F">
        <w:rPr>
          <w:rFonts w:asciiTheme="majorBidi" w:hAnsiTheme="majorBidi" w:cstheme="majorBidi"/>
        </w:rPr>
        <w:t xml:space="preserve"> </w:t>
      </w:r>
      <w:r w:rsidRPr="004C3F8F">
        <w:rPr>
          <w:rFonts w:asciiTheme="majorBidi" w:eastAsia="Times" w:hAnsiTheme="majorBidi" w:cstheme="majorBidi"/>
          <w:color w:val="000000"/>
        </w:rPr>
        <w:t>Sultan</w:t>
      </w:r>
      <w:r w:rsidRPr="004C3F8F">
        <w:rPr>
          <w:rFonts w:asciiTheme="majorBidi" w:hAnsiTheme="majorBidi" w:cstheme="majorBidi"/>
        </w:rPr>
        <w:t xml:space="preserve"> </w:t>
      </w:r>
      <w:r w:rsidRPr="004C3F8F">
        <w:rPr>
          <w:rFonts w:asciiTheme="majorBidi" w:eastAsia="Times" w:hAnsiTheme="majorBidi" w:cstheme="majorBidi"/>
          <w:color w:val="000000"/>
        </w:rPr>
        <w:t>Qaboos</w:t>
      </w:r>
      <w:r w:rsidRPr="004C3F8F">
        <w:rPr>
          <w:rFonts w:asciiTheme="majorBidi" w:hAnsiTheme="majorBidi" w:cstheme="majorBidi"/>
        </w:rPr>
        <w:t xml:space="preserve"> </w:t>
      </w:r>
      <w:r w:rsidRPr="004C3F8F">
        <w:rPr>
          <w:rFonts w:asciiTheme="majorBidi" w:eastAsia="Times" w:hAnsiTheme="majorBidi" w:cstheme="majorBidi"/>
          <w:color w:val="000000"/>
        </w:rPr>
        <w:t>University PO</w:t>
      </w:r>
      <w:r w:rsidRPr="004C3F8F">
        <w:rPr>
          <w:rFonts w:asciiTheme="majorBidi" w:hAnsiTheme="majorBidi" w:cstheme="majorBidi"/>
        </w:rPr>
        <w:t xml:space="preserve"> </w:t>
      </w:r>
      <w:r w:rsidRPr="004C3F8F">
        <w:rPr>
          <w:rFonts w:asciiTheme="majorBidi" w:eastAsia="Times" w:hAnsiTheme="majorBidi" w:cstheme="majorBidi"/>
          <w:color w:val="000000"/>
        </w:rPr>
        <w:t>Box:34</w:t>
      </w:r>
      <w:r w:rsidRPr="004C3F8F">
        <w:rPr>
          <w:rFonts w:asciiTheme="majorBidi" w:hAnsiTheme="majorBidi" w:cstheme="majorBidi"/>
        </w:rPr>
        <w:t xml:space="preserve"> </w:t>
      </w:r>
      <w:r w:rsidRPr="004C3F8F">
        <w:rPr>
          <w:rFonts w:asciiTheme="majorBidi" w:eastAsia="Times" w:hAnsiTheme="majorBidi" w:cstheme="majorBidi"/>
          <w:color w:val="000000"/>
        </w:rPr>
        <w:t>Al</w:t>
      </w:r>
      <w:r w:rsidRPr="004C3F8F">
        <w:rPr>
          <w:rFonts w:asciiTheme="majorBidi" w:hAnsiTheme="majorBidi" w:cstheme="majorBidi"/>
        </w:rPr>
        <w:t xml:space="preserve"> </w:t>
      </w:r>
      <w:r w:rsidRPr="004C3F8F">
        <w:rPr>
          <w:rFonts w:asciiTheme="majorBidi" w:eastAsia="Times" w:hAnsiTheme="majorBidi" w:cstheme="majorBidi"/>
          <w:color w:val="000000"/>
        </w:rPr>
        <w:t>Khod</w:t>
      </w:r>
      <w:r w:rsidRPr="004C3F8F">
        <w:rPr>
          <w:rFonts w:asciiTheme="majorBidi" w:hAnsiTheme="majorBidi" w:cstheme="majorBidi"/>
        </w:rPr>
        <w:t xml:space="preserve"> </w:t>
      </w:r>
      <w:r w:rsidRPr="004C3F8F">
        <w:rPr>
          <w:rFonts w:asciiTheme="majorBidi" w:eastAsia="Times" w:hAnsiTheme="majorBidi" w:cstheme="majorBidi"/>
          <w:color w:val="000000"/>
        </w:rPr>
        <w:t>123, Sultanate of Oman.</w:t>
      </w:r>
      <w:r w:rsidRPr="004C3F8F">
        <w:rPr>
          <w:rFonts w:asciiTheme="majorBidi" w:hAnsiTheme="majorBidi" w:cstheme="majorBidi"/>
        </w:rPr>
        <w:t xml:space="preserve"> </w:t>
      </w:r>
      <w:r w:rsidRPr="004C3F8F">
        <w:rPr>
          <w:rFonts w:asciiTheme="majorBidi" w:eastAsia="Times" w:hAnsiTheme="majorBidi" w:cstheme="majorBidi"/>
          <w:color w:val="000000"/>
        </w:rPr>
        <w:t>Tel:</w:t>
      </w:r>
      <w:r w:rsidRPr="004C3F8F">
        <w:rPr>
          <w:rFonts w:asciiTheme="majorBidi" w:hAnsiTheme="majorBidi" w:cstheme="majorBidi"/>
        </w:rPr>
        <w:t xml:space="preserve"> </w:t>
      </w:r>
      <w:r w:rsidRPr="004C3F8F">
        <w:rPr>
          <w:rFonts w:asciiTheme="majorBidi" w:eastAsia="Times" w:hAnsiTheme="majorBidi" w:cstheme="majorBidi"/>
          <w:color w:val="000000"/>
        </w:rPr>
        <w:t>+968</w:t>
      </w:r>
      <w:r w:rsidRPr="004C3F8F">
        <w:rPr>
          <w:rFonts w:asciiTheme="majorBidi" w:hAnsiTheme="majorBidi" w:cstheme="majorBidi"/>
        </w:rPr>
        <w:t xml:space="preserve"> </w:t>
      </w:r>
      <w:r w:rsidRPr="004C3F8F">
        <w:rPr>
          <w:rFonts w:asciiTheme="majorBidi" w:eastAsia="Times" w:hAnsiTheme="majorBidi" w:cstheme="majorBidi"/>
          <w:color w:val="000000"/>
        </w:rPr>
        <w:t>24141243,</w:t>
      </w:r>
      <w:r w:rsidRPr="004C3F8F">
        <w:rPr>
          <w:rFonts w:asciiTheme="majorBidi" w:hAnsiTheme="majorBidi" w:cstheme="majorBidi"/>
        </w:rPr>
        <w:t xml:space="preserve"> </w:t>
      </w:r>
      <w:r w:rsidRPr="004C3F8F">
        <w:rPr>
          <w:rFonts w:asciiTheme="majorBidi" w:eastAsia="Times" w:hAnsiTheme="majorBidi" w:cstheme="majorBidi"/>
          <w:color w:val="000000"/>
        </w:rPr>
        <w:t>Fax:+968</w:t>
      </w:r>
      <w:r w:rsidRPr="004C3F8F">
        <w:rPr>
          <w:rFonts w:asciiTheme="majorBidi" w:hAnsiTheme="majorBidi" w:cstheme="majorBidi"/>
        </w:rPr>
        <w:t xml:space="preserve"> </w:t>
      </w:r>
      <w:r w:rsidRPr="004C3F8F">
        <w:rPr>
          <w:rFonts w:asciiTheme="majorBidi" w:eastAsia="Times" w:hAnsiTheme="majorBidi" w:cstheme="majorBidi"/>
          <w:color w:val="000000"/>
        </w:rPr>
        <w:t>24413418,</w:t>
      </w:r>
      <w:r w:rsidRPr="004C3F8F">
        <w:rPr>
          <w:rFonts w:asciiTheme="majorBidi" w:hAnsiTheme="majorBidi" w:cstheme="majorBidi"/>
        </w:rPr>
        <w:t xml:space="preserve"> </w:t>
      </w:r>
      <w:r w:rsidRPr="004C3F8F">
        <w:rPr>
          <w:rFonts w:asciiTheme="majorBidi" w:eastAsia="Times" w:hAnsiTheme="majorBidi" w:cstheme="majorBidi"/>
          <w:color w:val="000000"/>
        </w:rPr>
        <w:t>E-mail:</w:t>
      </w:r>
      <w:r w:rsidRPr="004C3F8F">
        <w:rPr>
          <w:rFonts w:asciiTheme="majorBidi" w:hAnsiTheme="majorBidi" w:cstheme="majorBidi"/>
        </w:rPr>
        <w:t xml:space="preserve"> </w:t>
      </w:r>
      <w:hyperlink r:id="rId10" w:history="1">
        <w:r w:rsidRPr="004C3F8F">
          <w:rPr>
            <w:rFonts w:asciiTheme="majorBidi" w:eastAsia="Times" w:hAnsiTheme="majorBidi" w:cstheme="majorBidi"/>
            <w:color w:val="0000FF" w:themeColor="hyperlink"/>
            <w:u w:val="single"/>
          </w:rPr>
          <w:t>boughanh@squ.edu.om</w:t>
        </w:r>
      </w:hyperlink>
      <w:r w:rsidRPr="004C3F8F">
        <w:rPr>
          <w:rFonts w:asciiTheme="majorBidi" w:eastAsia="Times" w:hAnsiTheme="majorBidi" w:cstheme="majorBidi"/>
          <w:color w:val="0000FF" w:themeColor="hyperlink"/>
          <w:u w:val="single"/>
        </w:rPr>
        <w:t>.</w:t>
      </w:r>
    </w:p>
    <w:p w:rsidR="004C3F8F" w:rsidRPr="004C3F8F" w:rsidRDefault="004C3F8F" w:rsidP="004C3F8F">
      <w:pPr>
        <w:numPr>
          <w:ilvl w:val="0"/>
          <w:numId w:val="20"/>
        </w:numPr>
        <w:spacing w:after="0"/>
        <w:contextualSpacing/>
        <w:rPr>
          <w:rFonts w:asciiTheme="majorBidi" w:eastAsia="Times" w:hAnsiTheme="majorBidi" w:cstheme="majorBidi"/>
          <w:color w:val="002060"/>
        </w:rPr>
      </w:pPr>
      <w:r w:rsidRPr="004C3F8F">
        <w:rPr>
          <w:rFonts w:asciiTheme="majorBidi" w:eastAsia="Times" w:hAnsiTheme="majorBidi" w:cstheme="majorBidi"/>
        </w:rPr>
        <w:t xml:space="preserve">Hemesiri Kotagama, Assistant Professor , </w:t>
      </w:r>
      <w:r w:rsidRPr="004C3F8F">
        <w:rPr>
          <w:rFonts w:asciiTheme="majorBidi" w:hAnsiTheme="majorBidi" w:cstheme="majorBidi"/>
        </w:rPr>
        <w:t xml:space="preserve">Department of Natural Resource Economics, College of Agricultutal and Marine Sciences, </w:t>
      </w:r>
      <w:r w:rsidRPr="004C3F8F">
        <w:rPr>
          <w:rFonts w:asciiTheme="majorBidi" w:eastAsia="Times" w:hAnsiTheme="majorBidi" w:cstheme="majorBidi"/>
          <w:color w:val="000000"/>
        </w:rPr>
        <w:t>PO</w:t>
      </w:r>
      <w:r w:rsidRPr="004C3F8F">
        <w:rPr>
          <w:rFonts w:asciiTheme="majorBidi" w:hAnsiTheme="majorBidi" w:cstheme="majorBidi"/>
        </w:rPr>
        <w:t xml:space="preserve"> </w:t>
      </w:r>
      <w:r w:rsidRPr="004C3F8F">
        <w:rPr>
          <w:rFonts w:asciiTheme="majorBidi" w:eastAsia="Times" w:hAnsiTheme="majorBidi" w:cstheme="majorBidi"/>
          <w:color w:val="000000"/>
        </w:rPr>
        <w:t>Box:34</w:t>
      </w:r>
      <w:r w:rsidRPr="004C3F8F">
        <w:rPr>
          <w:rFonts w:asciiTheme="majorBidi" w:hAnsiTheme="majorBidi" w:cstheme="majorBidi"/>
        </w:rPr>
        <w:t xml:space="preserve"> </w:t>
      </w:r>
      <w:r w:rsidRPr="004C3F8F">
        <w:rPr>
          <w:rFonts w:asciiTheme="majorBidi" w:eastAsia="Times" w:hAnsiTheme="majorBidi" w:cstheme="majorBidi"/>
          <w:color w:val="000000"/>
        </w:rPr>
        <w:t>Al</w:t>
      </w:r>
      <w:r w:rsidRPr="004C3F8F">
        <w:rPr>
          <w:rFonts w:asciiTheme="majorBidi" w:hAnsiTheme="majorBidi" w:cstheme="majorBidi"/>
        </w:rPr>
        <w:t xml:space="preserve"> </w:t>
      </w:r>
      <w:r w:rsidRPr="004C3F8F">
        <w:rPr>
          <w:rFonts w:asciiTheme="majorBidi" w:eastAsia="Times" w:hAnsiTheme="majorBidi" w:cstheme="majorBidi"/>
          <w:color w:val="000000"/>
        </w:rPr>
        <w:t>Khod</w:t>
      </w:r>
      <w:r w:rsidRPr="004C3F8F">
        <w:rPr>
          <w:rFonts w:asciiTheme="majorBidi" w:hAnsiTheme="majorBidi" w:cstheme="majorBidi"/>
        </w:rPr>
        <w:t xml:space="preserve"> </w:t>
      </w:r>
      <w:r w:rsidRPr="004C3F8F">
        <w:rPr>
          <w:rFonts w:asciiTheme="majorBidi" w:eastAsia="Times" w:hAnsiTheme="majorBidi" w:cstheme="majorBidi"/>
          <w:color w:val="000000"/>
        </w:rPr>
        <w:t>123,</w:t>
      </w:r>
      <w:r w:rsidRPr="004C3F8F">
        <w:rPr>
          <w:rFonts w:asciiTheme="majorBidi" w:hAnsiTheme="majorBidi" w:cstheme="majorBidi"/>
        </w:rPr>
        <w:t xml:space="preserve"> </w:t>
      </w:r>
      <w:r w:rsidRPr="004C3F8F">
        <w:rPr>
          <w:rFonts w:asciiTheme="majorBidi" w:eastAsia="Times" w:hAnsiTheme="majorBidi" w:cstheme="majorBidi"/>
          <w:color w:val="000000"/>
        </w:rPr>
        <w:t>Sultanate</w:t>
      </w:r>
      <w:r w:rsidRPr="004C3F8F">
        <w:rPr>
          <w:rFonts w:asciiTheme="majorBidi" w:hAnsiTheme="majorBidi" w:cstheme="majorBidi"/>
        </w:rPr>
        <w:t xml:space="preserve"> </w:t>
      </w:r>
      <w:r w:rsidRPr="004C3F8F">
        <w:rPr>
          <w:rFonts w:asciiTheme="majorBidi" w:eastAsia="Times" w:hAnsiTheme="majorBidi" w:cstheme="majorBidi"/>
          <w:color w:val="000000"/>
        </w:rPr>
        <w:t>of</w:t>
      </w:r>
      <w:r w:rsidRPr="004C3F8F">
        <w:rPr>
          <w:rFonts w:asciiTheme="majorBidi" w:hAnsiTheme="majorBidi" w:cstheme="majorBidi"/>
        </w:rPr>
        <w:t xml:space="preserve"> </w:t>
      </w:r>
      <w:r w:rsidRPr="004C3F8F">
        <w:rPr>
          <w:rFonts w:asciiTheme="majorBidi" w:eastAsia="Times" w:hAnsiTheme="majorBidi" w:cstheme="majorBidi"/>
          <w:color w:val="000000"/>
        </w:rPr>
        <w:t xml:space="preserve">Oman. </w:t>
      </w:r>
      <w:r w:rsidRPr="004C3F8F">
        <w:rPr>
          <w:rFonts w:asciiTheme="majorBidi" w:eastAsia="Times" w:hAnsiTheme="majorBidi" w:cstheme="majorBidi"/>
          <w:color w:val="002060"/>
        </w:rPr>
        <w:t>Email:hemkot@squ.edu.om</w:t>
      </w:r>
    </w:p>
    <w:p w:rsidR="004C3F8F" w:rsidRPr="004C3F8F" w:rsidRDefault="004C3F8F" w:rsidP="004C3F8F">
      <w:pPr>
        <w:numPr>
          <w:ilvl w:val="0"/>
          <w:numId w:val="20"/>
        </w:numPr>
        <w:spacing w:after="0"/>
        <w:contextualSpacing/>
        <w:rPr>
          <w:rFonts w:asciiTheme="majorBidi" w:eastAsia="Times" w:hAnsiTheme="majorBidi" w:cstheme="majorBidi"/>
          <w:bCs/>
        </w:rPr>
      </w:pPr>
      <w:r w:rsidRPr="004C3F8F">
        <w:rPr>
          <w:rFonts w:asciiTheme="majorBidi" w:hAnsiTheme="majorBidi" w:cstheme="majorBidi"/>
          <w:bCs/>
        </w:rPr>
        <w:t>Lokman Zaibet,</w:t>
      </w:r>
      <w:r w:rsidRPr="004C3F8F">
        <w:rPr>
          <w:rFonts w:asciiTheme="majorBidi" w:eastAsia="Times" w:hAnsiTheme="majorBidi" w:cstheme="majorBidi"/>
        </w:rPr>
        <w:t xml:space="preserve"> Associate Professor , </w:t>
      </w:r>
      <w:r w:rsidRPr="004C3F8F">
        <w:rPr>
          <w:rFonts w:asciiTheme="majorBidi" w:hAnsiTheme="majorBidi" w:cstheme="majorBidi"/>
        </w:rPr>
        <w:t xml:space="preserve">Department of Natural Resource Economics, College of Agricultutal and Marine Sciences, </w:t>
      </w:r>
      <w:r w:rsidRPr="004C3F8F">
        <w:rPr>
          <w:rFonts w:asciiTheme="majorBidi" w:eastAsia="Times" w:hAnsiTheme="majorBidi" w:cstheme="majorBidi"/>
          <w:color w:val="000000"/>
        </w:rPr>
        <w:t>PO</w:t>
      </w:r>
      <w:r w:rsidRPr="004C3F8F">
        <w:rPr>
          <w:rFonts w:asciiTheme="majorBidi" w:hAnsiTheme="majorBidi" w:cstheme="majorBidi"/>
        </w:rPr>
        <w:t xml:space="preserve"> </w:t>
      </w:r>
      <w:r w:rsidRPr="004C3F8F">
        <w:rPr>
          <w:rFonts w:asciiTheme="majorBidi" w:eastAsia="Times" w:hAnsiTheme="majorBidi" w:cstheme="majorBidi"/>
          <w:color w:val="000000"/>
        </w:rPr>
        <w:t>Box:34</w:t>
      </w:r>
      <w:r w:rsidRPr="004C3F8F">
        <w:rPr>
          <w:rFonts w:asciiTheme="majorBidi" w:hAnsiTheme="majorBidi" w:cstheme="majorBidi"/>
        </w:rPr>
        <w:t xml:space="preserve"> </w:t>
      </w:r>
      <w:r w:rsidRPr="004C3F8F">
        <w:rPr>
          <w:rFonts w:asciiTheme="majorBidi" w:eastAsia="Times" w:hAnsiTheme="majorBidi" w:cstheme="majorBidi"/>
          <w:color w:val="000000"/>
        </w:rPr>
        <w:t>Al</w:t>
      </w:r>
      <w:r w:rsidRPr="004C3F8F">
        <w:rPr>
          <w:rFonts w:asciiTheme="majorBidi" w:hAnsiTheme="majorBidi" w:cstheme="majorBidi"/>
        </w:rPr>
        <w:t xml:space="preserve"> </w:t>
      </w:r>
      <w:r w:rsidRPr="004C3F8F">
        <w:rPr>
          <w:rFonts w:asciiTheme="majorBidi" w:eastAsia="Times" w:hAnsiTheme="majorBidi" w:cstheme="majorBidi"/>
          <w:color w:val="000000"/>
        </w:rPr>
        <w:t>Khod</w:t>
      </w:r>
      <w:r w:rsidRPr="004C3F8F">
        <w:rPr>
          <w:rFonts w:asciiTheme="majorBidi" w:hAnsiTheme="majorBidi" w:cstheme="majorBidi"/>
        </w:rPr>
        <w:t xml:space="preserve"> </w:t>
      </w:r>
      <w:r w:rsidRPr="004C3F8F">
        <w:rPr>
          <w:rFonts w:asciiTheme="majorBidi" w:eastAsia="Times" w:hAnsiTheme="majorBidi" w:cstheme="majorBidi"/>
          <w:color w:val="000000"/>
        </w:rPr>
        <w:t>123,</w:t>
      </w:r>
      <w:r w:rsidRPr="004C3F8F">
        <w:rPr>
          <w:rFonts w:asciiTheme="majorBidi" w:hAnsiTheme="majorBidi" w:cstheme="majorBidi"/>
        </w:rPr>
        <w:t xml:space="preserve"> </w:t>
      </w:r>
      <w:r w:rsidRPr="004C3F8F">
        <w:rPr>
          <w:rFonts w:asciiTheme="majorBidi" w:eastAsia="Times" w:hAnsiTheme="majorBidi" w:cstheme="majorBidi"/>
          <w:color w:val="000000"/>
        </w:rPr>
        <w:t>Sultanate</w:t>
      </w:r>
      <w:r w:rsidRPr="004C3F8F">
        <w:rPr>
          <w:rFonts w:asciiTheme="majorBidi" w:hAnsiTheme="majorBidi" w:cstheme="majorBidi"/>
        </w:rPr>
        <w:t xml:space="preserve"> </w:t>
      </w:r>
      <w:r w:rsidRPr="004C3F8F">
        <w:rPr>
          <w:rFonts w:asciiTheme="majorBidi" w:eastAsia="Times" w:hAnsiTheme="majorBidi" w:cstheme="majorBidi"/>
          <w:color w:val="000000"/>
        </w:rPr>
        <w:t>of</w:t>
      </w:r>
      <w:r w:rsidRPr="004C3F8F">
        <w:rPr>
          <w:rFonts w:asciiTheme="majorBidi" w:hAnsiTheme="majorBidi" w:cstheme="majorBidi"/>
        </w:rPr>
        <w:t xml:space="preserve"> </w:t>
      </w:r>
      <w:r w:rsidRPr="004C3F8F">
        <w:rPr>
          <w:rFonts w:asciiTheme="majorBidi" w:eastAsia="Times" w:hAnsiTheme="majorBidi" w:cstheme="majorBidi"/>
          <w:color w:val="000000"/>
        </w:rPr>
        <w:t xml:space="preserve">Oman. </w:t>
      </w:r>
      <w:r w:rsidRPr="004C3F8F">
        <w:rPr>
          <w:rFonts w:asciiTheme="majorBidi" w:eastAsia="Times" w:hAnsiTheme="majorBidi" w:cstheme="majorBidi"/>
          <w:color w:val="1F497D" w:themeColor="text2"/>
        </w:rPr>
        <w:t>Email:lzaibet@squ.edu.om</w:t>
      </w:r>
    </w:p>
    <w:p w:rsidR="004C3F8F" w:rsidRDefault="004C3F8F">
      <w:pPr>
        <w:rPr>
          <w:rFonts w:eastAsiaTheme="minorEastAsia" w:cs="Arial"/>
          <w:b/>
          <w:bCs/>
          <w:noProof w:val="0"/>
          <w:sz w:val="28"/>
          <w:szCs w:val="28"/>
        </w:rPr>
      </w:pPr>
      <w:r>
        <w:rPr>
          <w:b/>
          <w:bCs/>
          <w:sz w:val="28"/>
          <w:szCs w:val="28"/>
        </w:rPr>
        <w:br w:type="page"/>
      </w:r>
    </w:p>
    <w:p w:rsidR="00A342BF" w:rsidRPr="00A342BF" w:rsidRDefault="00A342BF" w:rsidP="00A342BF">
      <w:pPr>
        <w:pStyle w:val="NoSpacing"/>
        <w:ind w:left="720"/>
        <w:rPr>
          <w:b/>
          <w:bCs/>
        </w:rPr>
      </w:pPr>
    </w:p>
    <w:p w:rsidR="002615C7" w:rsidRPr="002615C7" w:rsidRDefault="002615C7" w:rsidP="00BD1033">
      <w:pPr>
        <w:pBdr>
          <w:bottom w:val="single" w:sz="4" w:space="1" w:color="auto"/>
        </w:pBdr>
        <w:ind w:left="576" w:right="360"/>
        <w:jc w:val="center"/>
        <w:rPr>
          <w:rFonts w:ascii="Times New Roman" w:eastAsia="Calibri" w:hAnsi="Times New Roman" w:cs="Times New Roman"/>
          <w:b/>
          <w:i/>
          <w:noProof w:val="0"/>
          <w:sz w:val="24"/>
          <w:szCs w:val="24"/>
        </w:rPr>
      </w:pPr>
      <w:r w:rsidRPr="002615C7">
        <w:rPr>
          <w:rFonts w:ascii="Times New Roman" w:eastAsia="Calibri" w:hAnsi="Times New Roman" w:cs="Times New Roman"/>
          <w:b/>
          <w:i/>
          <w:noProof w:val="0"/>
          <w:sz w:val="24"/>
          <w:szCs w:val="24"/>
        </w:rPr>
        <w:t>Abstract</w:t>
      </w:r>
    </w:p>
    <w:p w:rsidR="002615C7" w:rsidRPr="00664C43" w:rsidRDefault="00F713A4" w:rsidP="00DF4FD7">
      <w:pPr>
        <w:spacing w:after="120" w:line="360" w:lineRule="auto"/>
        <w:ind w:left="576" w:right="360"/>
        <w:jc w:val="both"/>
        <w:rPr>
          <w:rFonts w:ascii="Times New Roman" w:eastAsia="Calibri" w:hAnsi="Times New Roman" w:cs="Times New Roman"/>
          <w:i/>
          <w:iCs/>
          <w:noProof w:val="0"/>
        </w:rPr>
      </w:pPr>
      <w:r w:rsidRPr="00664C43">
        <w:rPr>
          <w:rFonts w:ascii="Times New Roman" w:eastAsia="Calibri" w:hAnsi="Times New Roman" w:cs="Times New Roman"/>
          <w:i/>
          <w:iCs/>
          <w:noProof w:val="0"/>
        </w:rPr>
        <w:t>Apart from traditional and cultural linkage</w:t>
      </w:r>
      <w:r w:rsidR="00C22743">
        <w:rPr>
          <w:rFonts w:ascii="Times New Roman" w:eastAsia="Calibri" w:hAnsi="Times New Roman" w:cs="Times New Roman"/>
          <w:i/>
          <w:iCs/>
          <w:noProof w:val="0"/>
        </w:rPr>
        <w:t>s</w:t>
      </w:r>
      <w:r w:rsidRPr="00664C43">
        <w:rPr>
          <w:rFonts w:ascii="Times New Roman" w:eastAsia="Calibri" w:hAnsi="Times New Roman" w:cs="Times New Roman"/>
          <w:i/>
          <w:iCs/>
          <w:noProof w:val="0"/>
        </w:rPr>
        <w:t xml:space="preserve"> </w:t>
      </w:r>
      <w:r w:rsidR="00C22743">
        <w:rPr>
          <w:rFonts w:ascii="Times New Roman" w:eastAsia="Calibri" w:hAnsi="Times New Roman" w:cs="Times New Roman"/>
          <w:i/>
          <w:iCs/>
          <w:noProof w:val="0"/>
        </w:rPr>
        <w:t>between Oman and</w:t>
      </w:r>
      <w:r w:rsidR="00C22743" w:rsidRPr="00664C43">
        <w:rPr>
          <w:rFonts w:ascii="Times New Roman" w:eastAsia="Calibri" w:hAnsi="Times New Roman" w:cs="Times New Roman"/>
          <w:i/>
          <w:iCs/>
          <w:noProof w:val="0"/>
        </w:rPr>
        <w:t xml:space="preserve"> </w:t>
      </w:r>
      <w:r w:rsidRPr="00664C43">
        <w:rPr>
          <w:rFonts w:ascii="Times New Roman" w:eastAsia="Calibri" w:hAnsi="Times New Roman" w:cs="Times New Roman"/>
          <w:i/>
          <w:iCs/>
          <w:noProof w:val="0"/>
        </w:rPr>
        <w:t>the MENA/ Arab region, the Indian Ocean represents a source of potential trade expansion and economic growth</w:t>
      </w:r>
      <w:r w:rsidR="00C22743">
        <w:rPr>
          <w:rFonts w:ascii="Times New Roman" w:eastAsia="Calibri" w:hAnsi="Times New Roman" w:cs="Times New Roman"/>
          <w:i/>
          <w:iCs/>
          <w:noProof w:val="0"/>
        </w:rPr>
        <w:t xml:space="preserve"> for Oman</w:t>
      </w:r>
      <w:r w:rsidRPr="00664C43">
        <w:rPr>
          <w:rFonts w:ascii="Times New Roman" w:eastAsia="Calibri" w:hAnsi="Times New Roman" w:cs="Times New Roman"/>
          <w:i/>
          <w:iCs/>
          <w:noProof w:val="0"/>
        </w:rPr>
        <w:t xml:space="preserve">. </w:t>
      </w:r>
      <w:r>
        <w:rPr>
          <w:rFonts w:ascii="Times New Roman" w:eastAsia="Calibri" w:hAnsi="Times New Roman" w:cs="Times New Roman"/>
          <w:i/>
          <w:iCs/>
          <w:noProof w:val="0"/>
        </w:rPr>
        <w:t xml:space="preserve">The objective of this </w:t>
      </w:r>
      <w:r w:rsidRPr="00664C43">
        <w:rPr>
          <w:rFonts w:ascii="Times New Roman" w:eastAsia="Calibri" w:hAnsi="Times New Roman" w:cs="Times New Roman"/>
          <w:i/>
          <w:iCs/>
          <w:noProof w:val="0"/>
        </w:rPr>
        <w:t>s</w:t>
      </w:r>
      <w:r>
        <w:rPr>
          <w:rFonts w:ascii="Times New Roman" w:eastAsia="Calibri" w:hAnsi="Times New Roman" w:cs="Times New Roman"/>
          <w:i/>
          <w:iCs/>
          <w:noProof w:val="0"/>
        </w:rPr>
        <w:t>tudy</w:t>
      </w:r>
      <w:r w:rsidRPr="00664C43">
        <w:rPr>
          <w:rFonts w:ascii="Times New Roman" w:eastAsia="Calibri" w:hAnsi="Times New Roman" w:cs="Times New Roman"/>
          <w:i/>
          <w:iCs/>
          <w:noProof w:val="0"/>
        </w:rPr>
        <w:t xml:space="preserve"> is to investigate the patterns of trade in the IORA and determine </w:t>
      </w:r>
      <w:r w:rsidR="003D409E">
        <w:rPr>
          <w:rFonts w:ascii="Times New Roman" w:eastAsia="Calibri" w:hAnsi="Times New Roman" w:cs="Times New Roman"/>
          <w:i/>
          <w:iCs/>
          <w:noProof w:val="0"/>
        </w:rPr>
        <w:t>Oman’s</w:t>
      </w:r>
      <w:r w:rsidRPr="00664C43">
        <w:rPr>
          <w:rFonts w:ascii="Times New Roman" w:eastAsia="Calibri" w:hAnsi="Times New Roman" w:cs="Times New Roman"/>
          <w:i/>
          <w:iCs/>
          <w:noProof w:val="0"/>
        </w:rPr>
        <w:t xml:space="preserve"> trade potential</w:t>
      </w:r>
      <w:r w:rsidR="003D409E">
        <w:rPr>
          <w:rFonts w:ascii="Times New Roman" w:eastAsia="Calibri" w:hAnsi="Times New Roman" w:cs="Times New Roman"/>
          <w:i/>
          <w:iCs/>
          <w:noProof w:val="0"/>
        </w:rPr>
        <w:t xml:space="preserve"> in this region.</w:t>
      </w:r>
      <w:r w:rsidRPr="00664C43">
        <w:rPr>
          <w:rFonts w:ascii="Times New Roman" w:eastAsia="Calibri" w:hAnsi="Times New Roman" w:cs="Times New Roman"/>
          <w:i/>
          <w:iCs/>
          <w:noProof w:val="0"/>
        </w:rPr>
        <w:t xml:space="preserve"> Panel data between the years 2006- 2015</w:t>
      </w:r>
      <w:r w:rsidR="00EB316E">
        <w:rPr>
          <w:rFonts w:ascii="Times New Roman" w:eastAsia="Calibri" w:hAnsi="Times New Roman" w:cs="Times New Roman"/>
          <w:i/>
          <w:iCs/>
          <w:noProof w:val="0"/>
        </w:rPr>
        <w:t xml:space="preserve"> and the Poisson Pseudo-Maximum Likelihood (PPML) technique were</w:t>
      </w:r>
      <w:r w:rsidRPr="00664C43">
        <w:rPr>
          <w:rFonts w:ascii="Times New Roman" w:eastAsia="Calibri" w:hAnsi="Times New Roman" w:cs="Times New Roman"/>
          <w:i/>
          <w:iCs/>
          <w:noProof w:val="0"/>
        </w:rPr>
        <w:t xml:space="preserve"> used to estimate a structural gravity model. The results </w:t>
      </w:r>
      <w:r w:rsidR="00084B84">
        <w:rPr>
          <w:rFonts w:ascii="Times New Roman" w:eastAsia="Calibri" w:hAnsi="Times New Roman" w:cs="Times New Roman"/>
          <w:i/>
          <w:iCs/>
          <w:noProof w:val="0"/>
        </w:rPr>
        <w:t xml:space="preserve">confirm the trade potential between Oman and </w:t>
      </w:r>
      <w:r w:rsidR="0033739A">
        <w:rPr>
          <w:rFonts w:ascii="Times New Roman" w:eastAsia="Calibri" w:hAnsi="Times New Roman" w:cs="Times New Roman"/>
          <w:i/>
          <w:iCs/>
          <w:noProof w:val="0"/>
        </w:rPr>
        <w:t>IORA</w:t>
      </w:r>
      <w:r w:rsidR="00DF4FD7">
        <w:rPr>
          <w:rFonts w:ascii="Times New Roman" w:eastAsia="Calibri" w:hAnsi="Times New Roman" w:cs="Times New Roman"/>
          <w:i/>
          <w:iCs/>
          <w:noProof w:val="0"/>
        </w:rPr>
        <w:t xml:space="preserve"> and indicate </w:t>
      </w:r>
      <w:r w:rsidR="00791712">
        <w:rPr>
          <w:rFonts w:ascii="Times New Roman" w:eastAsia="Calibri" w:hAnsi="Times New Roman" w:cs="Times New Roman"/>
          <w:i/>
          <w:iCs/>
          <w:noProof w:val="0"/>
        </w:rPr>
        <w:t>that the IORA formation is equivalent to a tariff drop (</w:t>
      </w:r>
      <w:r w:rsidRPr="00664C43">
        <w:rPr>
          <w:rFonts w:ascii="Times New Roman" w:eastAsia="Calibri" w:hAnsi="Times New Roman" w:cs="Times New Roman"/>
          <w:i/>
          <w:iCs/>
          <w:noProof w:val="0"/>
        </w:rPr>
        <w:t>tariff equivalent</w:t>
      </w:r>
      <w:r w:rsidR="00791712">
        <w:rPr>
          <w:rFonts w:ascii="Times New Roman" w:eastAsia="Calibri" w:hAnsi="Times New Roman" w:cs="Times New Roman"/>
          <w:i/>
          <w:iCs/>
          <w:noProof w:val="0"/>
        </w:rPr>
        <w:t>)</w:t>
      </w:r>
      <w:r w:rsidRPr="00664C43">
        <w:rPr>
          <w:rFonts w:ascii="Times New Roman" w:eastAsia="Calibri" w:hAnsi="Times New Roman" w:cs="Times New Roman"/>
          <w:i/>
          <w:iCs/>
          <w:noProof w:val="0"/>
        </w:rPr>
        <w:t xml:space="preserve"> of 10.3 percent</w:t>
      </w:r>
      <w:r w:rsidR="008D5181">
        <w:rPr>
          <w:rFonts w:ascii="Times New Roman" w:eastAsia="Calibri" w:hAnsi="Times New Roman" w:cs="Times New Roman"/>
          <w:i/>
          <w:iCs/>
          <w:noProof w:val="0"/>
        </w:rPr>
        <w:t>.</w:t>
      </w:r>
      <w:r w:rsidRPr="00664C43">
        <w:rPr>
          <w:rFonts w:ascii="Times New Roman" w:eastAsia="Calibri" w:hAnsi="Times New Roman" w:cs="Times New Roman"/>
          <w:i/>
          <w:iCs/>
          <w:noProof w:val="0"/>
        </w:rPr>
        <w:t xml:space="preserve"> </w:t>
      </w:r>
    </w:p>
    <w:p w:rsidR="002615C7" w:rsidRPr="00283D74" w:rsidRDefault="002615C7" w:rsidP="00283D74">
      <w:pPr>
        <w:spacing w:after="0" w:line="240" w:lineRule="auto"/>
        <w:ind w:left="576" w:right="360"/>
        <w:jc w:val="both"/>
        <w:rPr>
          <w:rFonts w:asciiTheme="majorBidi" w:eastAsia="Calibri" w:hAnsiTheme="majorBidi" w:cstheme="majorBidi"/>
          <w:b/>
          <w:noProof w:val="0"/>
        </w:rPr>
      </w:pPr>
      <w:r w:rsidRPr="00283D74">
        <w:rPr>
          <w:rFonts w:asciiTheme="majorBidi" w:eastAsia="Calibri" w:hAnsiTheme="majorBidi" w:cstheme="majorBidi"/>
          <w:b/>
          <w:noProof w:val="0"/>
        </w:rPr>
        <w:t>Key words:   Trade Potential, Gravity Model, Trade Determinant, IORA, Oman.</w:t>
      </w:r>
    </w:p>
    <w:p w:rsidR="00283D74" w:rsidRPr="004C3F8F" w:rsidRDefault="00A90946" w:rsidP="00283D74">
      <w:pPr>
        <w:spacing w:after="120" w:line="240" w:lineRule="auto"/>
        <w:ind w:left="576" w:right="360"/>
        <w:jc w:val="both"/>
        <w:rPr>
          <w:rFonts w:asciiTheme="majorBidi" w:eastAsia="Calibri" w:hAnsiTheme="majorBidi" w:cstheme="majorBidi"/>
          <w:b/>
          <w:noProof w:val="0"/>
          <w:lang w:val="fr-FR"/>
        </w:rPr>
      </w:pPr>
      <w:r w:rsidRPr="00A90946">
        <w:rPr>
          <w:rFonts w:asciiTheme="majorBidi" w:eastAsia="Calibri" w:hAnsiTheme="majorBidi" w:cstheme="majorBidi"/>
          <w:b/>
        </w:rPr>
        <mc:AlternateContent>
          <mc:Choice Requires="wps">
            <w:drawing>
              <wp:anchor distT="0" distB="0" distL="114300" distR="114300" simplePos="0" relativeHeight="251659264" behindDoc="0" locked="0" layoutInCell="1" allowOverlap="1">
                <wp:simplePos x="0" y="0"/>
                <wp:positionH relativeFrom="column">
                  <wp:posOffset>248477</wp:posOffset>
                </wp:positionH>
                <wp:positionV relativeFrom="paragraph">
                  <wp:posOffset>201985</wp:posOffset>
                </wp:positionV>
                <wp:extent cx="508883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08883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394CF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5pt,15.9pt" to="420.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" strokecolor="black [3213]"/>
            </w:pict>
          </mc:Fallback>
        </mc:AlternateContent>
      </w:r>
      <w:r w:rsidR="00283D74" w:rsidRPr="004C3F8F">
        <w:rPr>
          <w:rFonts w:asciiTheme="majorBidi" w:eastAsia="Calibri" w:hAnsiTheme="majorBidi" w:cstheme="majorBidi"/>
          <w:b/>
          <w:noProof w:val="0"/>
          <w:lang w:val="fr-FR"/>
        </w:rPr>
        <w:t>JEL classification: F12• F15</w:t>
      </w:r>
    </w:p>
    <w:p w:rsidR="00E158BC" w:rsidRPr="004C3F8F" w:rsidRDefault="00E158BC">
      <w:pPr>
        <w:rPr>
          <w:rFonts w:asciiTheme="majorBidi" w:hAnsiTheme="majorBidi" w:cstheme="majorBidi"/>
          <w:lang w:val="fr-FR"/>
        </w:rPr>
      </w:pPr>
      <w:r w:rsidRPr="004C3F8F">
        <w:rPr>
          <w:rFonts w:asciiTheme="majorBidi" w:hAnsiTheme="majorBidi" w:cstheme="majorBidi"/>
          <w:lang w:val="fr-FR"/>
        </w:rPr>
        <w:br w:type="page"/>
      </w:r>
    </w:p>
    <w:p w:rsidR="00BD1033" w:rsidRPr="00BD1033" w:rsidRDefault="00F52AC9" w:rsidP="00A90946">
      <w:pPr>
        <w:pStyle w:val="Heading1"/>
        <w:spacing w:after="120"/>
        <w:rPr>
          <w:rFonts w:asciiTheme="majorBidi" w:hAnsiTheme="majorBidi"/>
          <w:b/>
          <w:bCs/>
        </w:rPr>
      </w:pPr>
      <w:bookmarkStart w:id="0" w:name="_Toc514600534"/>
      <w:r w:rsidRPr="004C3F8F">
        <w:rPr>
          <w:rFonts w:asciiTheme="majorBidi" w:hAnsiTheme="majorBidi"/>
          <w:b/>
          <w:bCs/>
          <w:sz w:val="24"/>
          <w:szCs w:val="24"/>
          <w:lang w:val="fr-FR"/>
        </w:rPr>
        <w:lastRenderedPageBreak/>
        <w:t>I</w:t>
      </w:r>
      <w:r w:rsidR="004F7D4B" w:rsidRPr="004C3F8F">
        <w:rPr>
          <w:rFonts w:asciiTheme="majorBidi" w:hAnsiTheme="majorBidi"/>
          <w:b/>
          <w:bCs/>
          <w:sz w:val="24"/>
          <w:szCs w:val="24"/>
          <w:lang w:val="fr-FR"/>
        </w:rPr>
        <w:t>.</w:t>
      </w:r>
      <w:r w:rsidRPr="004C3F8F">
        <w:rPr>
          <w:rFonts w:asciiTheme="majorBidi" w:hAnsiTheme="majorBidi"/>
          <w:b/>
          <w:bCs/>
          <w:sz w:val="24"/>
          <w:szCs w:val="24"/>
          <w:lang w:val="fr-FR"/>
        </w:rPr>
        <w:t xml:space="preserve"> </w:t>
      </w:r>
      <w:r w:rsidRPr="004C3F8F">
        <w:rPr>
          <w:rFonts w:asciiTheme="majorBidi" w:hAnsiTheme="majorBidi"/>
          <w:b/>
          <w:bCs/>
          <w:sz w:val="28"/>
          <w:szCs w:val="28"/>
          <w:lang w:val="fr-FR"/>
        </w:rPr>
        <w:tab/>
      </w:r>
      <w:r w:rsidR="00BD1033" w:rsidRPr="00EE4776">
        <w:rPr>
          <w:rFonts w:asciiTheme="majorBidi" w:hAnsiTheme="majorBidi"/>
          <w:b/>
          <w:bCs/>
          <w:sz w:val="24"/>
          <w:szCs w:val="24"/>
        </w:rPr>
        <w:t>Introduction</w:t>
      </w:r>
      <w:bookmarkEnd w:id="0"/>
    </w:p>
    <w:p w:rsidR="00AA4425" w:rsidRDefault="0038602B" w:rsidP="00462CE6">
      <w:pPr>
        <w:spacing w:after="0" w:line="360" w:lineRule="auto"/>
        <w:ind w:right="360"/>
        <w:jc w:val="both"/>
        <w:rPr>
          <w:rFonts w:ascii="Times New Roman" w:hAnsi="Times New Roman" w:cs="Times New Roman"/>
          <w:sz w:val="24"/>
          <w:szCs w:val="24"/>
        </w:rPr>
      </w:pPr>
      <w:r>
        <w:rPr>
          <w:rFonts w:ascii="Times New Roman" w:hAnsi="Times New Roman" w:cs="Times New Roman"/>
          <w:sz w:val="24"/>
          <w:szCs w:val="24"/>
        </w:rPr>
        <w:t xml:space="preserve">The world is fast becoming a global hub where various countries </w:t>
      </w:r>
      <w:r w:rsidR="00462CE6">
        <w:rPr>
          <w:rFonts w:ascii="Times New Roman" w:hAnsi="Times New Roman" w:cs="Times New Roman"/>
          <w:sz w:val="24"/>
          <w:szCs w:val="24"/>
        </w:rPr>
        <w:t>look</w:t>
      </w:r>
      <w:r>
        <w:rPr>
          <w:rFonts w:ascii="Times New Roman" w:hAnsi="Times New Roman" w:cs="Times New Roman"/>
          <w:sz w:val="24"/>
          <w:szCs w:val="24"/>
        </w:rPr>
        <w:t xml:space="preserve"> far beyond </w:t>
      </w:r>
      <w:r w:rsidR="00462CE6">
        <w:rPr>
          <w:rFonts w:ascii="Times New Roman" w:hAnsi="Times New Roman" w:cs="Times New Roman"/>
          <w:sz w:val="24"/>
          <w:szCs w:val="24"/>
        </w:rPr>
        <w:t xml:space="preserve">their </w:t>
      </w:r>
      <w:r>
        <w:rPr>
          <w:rFonts w:ascii="Times New Roman" w:hAnsi="Times New Roman" w:cs="Times New Roman"/>
          <w:sz w:val="24"/>
          <w:szCs w:val="24"/>
        </w:rPr>
        <w:t>geographical space in seeking economic and political integrations</w:t>
      </w:r>
      <w:r w:rsidR="00EE4776">
        <w:rPr>
          <w:rFonts w:ascii="Times New Roman" w:hAnsi="Times New Roman" w:cs="Times New Roman"/>
          <w:sz w:val="24"/>
          <w:szCs w:val="24"/>
        </w:rPr>
        <w:fldChar w:fldCharType="begin" w:fldLock="1"/>
      </w:r>
      <w:r w:rsidR="00897900">
        <w:rPr>
          <w:rFonts w:ascii="Times New Roman" w:hAnsi="Times New Roman" w:cs="Times New Roman"/>
          <w:sz w:val="24"/>
          <w:szCs w:val="24"/>
        </w:rPr>
        <w:instrText>ADDIN CSL_CITATION {"citationItems":[{"id":"ITEM-1","itemData":{"DOI":"10.1007/978-94-007-6821-5_10","author":[{"dropping-particle":"","family":"Wippel","given":"Steffen","non-dropping-particle":"","parse-names":false,"suffix":""}],"container-title":"Regionalizing Oman","id":"ITEM-1","issued":{"date-parts":[["2013"]]},"page":"159-183","publisher":"Springer Netherlands","publisher-place":"Dordrecht","title":"Oman and the Indian Ocean Rim – Economic Integration Across Conventional Meta-Regions","type":"chapter"},"uris":["http://www.mendeley.com/documents/?uuid=fa0069d8-af42-32af-9974-e44908ea1a42"]}],"mendeley":{"formattedCitation":"(Wippel, 2013)","manualFormatting":" (Wippel, 2013)","plainTextFormattedCitation":"(Wippel, 2013)","previouslyFormattedCitation":"(Wippel, 2013)"},"properties":{"noteIndex":0},"schema":"https://github.com/citation-style-language/schema/raw/master/csl-citation.json"}</w:instrText>
      </w:r>
      <w:r w:rsidR="00EE4776">
        <w:rPr>
          <w:rFonts w:ascii="Times New Roman" w:hAnsi="Times New Roman" w:cs="Times New Roman"/>
          <w:sz w:val="24"/>
          <w:szCs w:val="24"/>
        </w:rPr>
        <w:fldChar w:fldCharType="separate"/>
      </w:r>
      <w:r w:rsidR="00897900">
        <w:rPr>
          <w:rFonts w:ascii="Times New Roman" w:hAnsi="Times New Roman" w:cs="Times New Roman"/>
          <w:sz w:val="24"/>
          <w:szCs w:val="24"/>
        </w:rPr>
        <w:t xml:space="preserve"> </w:t>
      </w:r>
      <w:r w:rsidR="00EE4776" w:rsidRPr="00EE4776">
        <w:rPr>
          <w:rFonts w:ascii="Times New Roman" w:hAnsi="Times New Roman" w:cs="Times New Roman"/>
          <w:sz w:val="24"/>
          <w:szCs w:val="24"/>
        </w:rPr>
        <w:t>(Wippel, 2013)</w:t>
      </w:r>
      <w:r w:rsidR="00EE4776">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24CED">
        <w:rPr>
          <w:rFonts w:ascii="Times New Roman" w:hAnsi="Times New Roman" w:cs="Times New Roman"/>
          <w:sz w:val="24"/>
          <w:szCs w:val="24"/>
        </w:rPr>
        <w:t>Oman  has been traditionally linked in worl</w:t>
      </w:r>
      <w:r w:rsidR="00102043">
        <w:rPr>
          <w:rFonts w:ascii="Times New Roman" w:hAnsi="Times New Roman" w:cs="Times New Roman"/>
          <w:sz w:val="24"/>
          <w:szCs w:val="24"/>
        </w:rPr>
        <w:t>d</w:t>
      </w:r>
      <w:r w:rsidR="00124CED">
        <w:rPr>
          <w:rFonts w:ascii="Times New Roman" w:hAnsi="Times New Roman" w:cs="Times New Roman"/>
          <w:sz w:val="24"/>
          <w:szCs w:val="24"/>
        </w:rPr>
        <w:t>wide classification</w:t>
      </w:r>
      <w:r w:rsidR="00375555">
        <w:rPr>
          <w:rFonts w:ascii="Times New Roman" w:hAnsi="Times New Roman" w:cs="Times New Roman"/>
          <w:sz w:val="24"/>
          <w:szCs w:val="24"/>
        </w:rPr>
        <w:t>s</w:t>
      </w:r>
      <w:r w:rsidR="00124CED">
        <w:rPr>
          <w:rFonts w:ascii="Times New Roman" w:hAnsi="Times New Roman" w:cs="Times New Roman"/>
          <w:sz w:val="24"/>
          <w:szCs w:val="24"/>
        </w:rPr>
        <w:t xml:space="preserve"> to the GCC and the MENA/Arab region but has </w:t>
      </w:r>
      <w:r w:rsidR="005976D1">
        <w:rPr>
          <w:rFonts w:ascii="Times New Roman" w:hAnsi="Times New Roman" w:cs="Times New Roman"/>
          <w:sz w:val="24"/>
          <w:szCs w:val="24"/>
        </w:rPr>
        <w:t xml:space="preserve">also </w:t>
      </w:r>
      <w:r w:rsidR="00124CED">
        <w:rPr>
          <w:rFonts w:ascii="Times New Roman" w:hAnsi="Times New Roman" w:cs="Times New Roman"/>
          <w:sz w:val="24"/>
          <w:szCs w:val="24"/>
        </w:rPr>
        <w:t>for long  maintained strong economic ties with regions outside its trad</w:t>
      </w:r>
      <w:r w:rsidR="005976D1">
        <w:rPr>
          <w:rFonts w:ascii="Times New Roman" w:hAnsi="Times New Roman" w:cs="Times New Roman"/>
          <w:sz w:val="24"/>
          <w:szCs w:val="24"/>
        </w:rPr>
        <w:t>i</w:t>
      </w:r>
      <w:r w:rsidR="00124CED">
        <w:rPr>
          <w:rFonts w:ascii="Times New Roman" w:hAnsi="Times New Roman" w:cs="Times New Roman"/>
          <w:sz w:val="24"/>
          <w:szCs w:val="24"/>
        </w:rPr>
        <w:t xml:space="preserve">tional geographical space, most importantly </w:t>
      </w:r>
      <w:r>
        <w:rPr>
          <w:rFonts w:ascii="Times New Roman" w:hAnsi="Times New Roman" w:cs="Times New Roman"/>
          <w:sz w:val="24"/>
          <w:szCs w:val="24"/>
        </w:rPr>
        <w:t>the Indian Ocean Rim Association for Regional Cooperation (IOR-ARC)</w:t>
      </w:r>
      <w:r w:rsidR="00B2417A">
        <w:rPr>
          <w:rFonts w:ascii="Times New Roman" w:hAnsi="Times New Roman" w:cs="Times New Roman"/>
          <w:sz w:val="24"/>
          <w:szCs w:val="24"/>
        </w:rPr>
        <w:t xml:space="preserve"> established in 1</w:t>
      </w:r>
      <w:r>
        <w:rPr>
          <w:rFonts w:ascii="Times New Roman" w:hAnsi="Times New Roman" w:cs="Times New Roman"/>
          <w:sz w:val="24"/>
          <w:szCs w:val="24"/>
        </w:rPr>
        <w:t>995</w:t>
      </w:r>
      <w:r w:rsidR="00B2417A">
        <w:rPr>
          <w:rFonts w:ascii="Times New Roman" w:hAnsi="Times New Roman" w:cs="Times New Roman"/>
          <w:sz w:val="24"/>
          <w:szCs w:val="24"/>
        </w:rPr>
        <w:t>.</w:t>
      </w:r>
      <w:r>
        <w:rPr>
          <w:rFonts w:ascii="Times New Roman" w:hAnsi="Times New Roman" w:cs="Times New Roman"/>
          <w:sz w:val="24"/>
          <w:szCs w:val="24"/>
        </w:rPr>
        <w:t xml:space="preserve"> The Indian Ocean has always been a trade nexus connecting </w:t>
      </w:r>
      <w:r w:rsidRPr="00560772">
        <w:rPr>
          <w:rFonts w:ascii="Times New Roman" w:hAnsi="Times New Roman" w:cs="Times New Roman"/>
          <w:sz w:val="24"/>
          <w:szCs w:val="24"/>
        </w:rPr>
        <w:t>A</w:t>
      </w:r>
      <w:r>
        <w:rPr>
          <w:rFonts w:ascii="Times New Roman" w:hAnsi="Times New Roman" w:cs="Times New Roman"/>
          <w:sz w:val="24"/>
          <w:szCs w:val="24"/>
        </w:rPr>
        <w:t xml:space="preserve">sia, the Middle East and Africa and has recently seen key players in global trade showing great interest in the region. In the coming decades, economic and productivity growth in </w:t>
      </w:r>
      <w:r w:rsidRPr="00237099">
        <w:rPr>
          <w:rFonts w:ascii="Times New Roman" w:hAnsi="Times New Roman" w:cs="Times New Roman"/>
          <w:sz w:val="24"/>
          <w:szCs w:val="24"/>
        </w:rPr>
        <w:t>the Indian ocean is</w:t>
      </w:r>
      <w:r>
        <w:rPr>
          <w:rFonts w:ascii="Times New Roman" w:hAnsi="Times New Roman" w:cs="Times New Roman"/>
          <w:sz w:val="24"/>
          <w:szCs w:val="24"/>
        </w:rPr>
        <w:t xml:space="preserve"> expected to rise </w:t>
      </w:r>
      <w:r w:rsidR="00AA4425">
        <w:rPr>
          <w:rFonts w:ascii="Times New Roman" w:hAnsi="Times New Roman" w:cs="Times New Roman"/>
          <w:sz w:val="24"/>
          <w:szCs w:val="24"/>
        </w:rPr>
        <w:t xml:space="preserve">given </w:t>
      </w:r>
      <w:r>
        <w:rPr>
          <w:rFonts w:ascii="Times New Roman" w:hAnsi="Times New Roman" w:cs="Times New Roman"/>
          <w:sz w:val="24"/>
          <w:szCs w:val="24"/>
        </w:rPr>
        <w:t xml:space="preserve">its relative population, growing market and strategic location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URL":"http://www.iora.net/en/priorities-focus-areas/trade-and-investment-facilitation","accessed":{"date-parts":[["2017","3","20"]]},"author":[{"dropping-particle":"","family":"IORA","given":"","non-dropping-particle":"","parse-names":false,"suffix":""}],"container-title":"IORA Priorities and Focus Areas","id":"ITEM-1","issued":{"date-parts":[["2016"]]},"title":"Trade &amp; Investment Facilitation","type":"webpage"},"uris":["http://www.mendeley.com/documents/?uuid=3a74b2fb-8cf0-488c-ac89-f6ecb4286267"]}],"mendeley":{"formattedCitation":"(IORA, 2016b)","plainTextFormattedCitation":"(IORA, 2016b)","previouslyFormattedCitation":"(IORA, 2016b)"},"properties":{"noteIndex":0},"schema":"https://github.com/citation-style-language/schema/raw/master/csl-citation.json"}</w:instrText>
      </w:r>
      <w:r>
        <w:rPr>
          <w:rFonts w:ascii="Times New Roman" w:hAnsi="Times New Roman" w:cs="Times New Roman"/>
          <w:sz w:val="24"/>
          <w:szCs w:val="24"/>
        </w:rPr>
        <w:fldChar w:fldCharType="separate"/>
      </w:r>
      <w:r w:rsidRPr="00D560E8">
        <w:rPr>
          <w:rFonts w:ascii="Times New Roman" w:hAnsi="Times New Roman" w:cs="Times New Roman"/>
          <w:sz w:val="24"/>
          <w:szCs w:val="24"/>
        </w:rPr>
        <w:t>(IORA, 2016b)</w:t>
      </w:r>
      <w:r>
        <w:rPr>
          <w:rFonts w:ascii="Times New Roman" w:hAnsi="Times New Roman" w:cs="Times New Roman"/>
          <w:sz w:val="24"/>
          <w:szCs w:val="24"/>
        </w:rPr>
        <w:fldChar w:fldCharType="end"/>
      </w:r>
      <w:r w:rsidR="00B33B41">
        <w:rPr>
          <w:rFonts w:ascii="Times New Roman" w:hAnsi="Times New Roman" w:cs="Times New Roman"/>
          <w:sz w:val="24"/>
          <w:szCs w:val="24"/>
        </w:rPr>
        <w:t xml:space="preserve">. </w:t>
      </w:r>
    </w:p>
    <w:p w:rsidR="00155526" w:rsidRDefault="00155526" w:rsidP="0038602B">
      <w:pPr>
        <w:spacing w:after="0" w:line="360" w:lineRule="auto"/>
        <w:ind w:right="360"/>
        <w:jc w:val="both"/>
        <w:rPr>
          <w:rFonts w:ascii="Times New Roman" w:hAnsi="Times New Roman" w:cs="Times New Roman"/>
          <w:sz w:val="24"/>
          <w:szCs w:val="24"/>
        </w:rPr>
      </w:pPr>
    </w:p>
    <w:p w:rsidR="00DC390A" w:rsidRDefault="00175C9D" w:rsidP="0038602B">
      <w:pPr>
        <w:spacing w:after="0" w:line="360" w:lineRule="auto"/>
        <w:ind w:right="360"/>
        <w:jc w:val="both"/>
        <w:rPr>
          <w:rFonts w:ascii="Times New Roman" w:hAnsi="Times New Roman" w:cs="Times New Roman"/>
          <w:sz w:val="24"/>
          <w:szCs w:val="24"/>
        </w:rPr>
      </w:pPr>
      <w:r w:rsidRPr="00E24F23">
        <w:drawing>
          <wp:anchor distT="0" distB="0" distL="114300" distR="114300" simplePos="0" relativeHeight="251661312" behindDoc="0" locked="0" layoutInCell="1" allowOverlap="1" wp14:anchorId="5EE05577" wp14:editId="5F3B9623">
            <wp:simplePos x="0" y="0"/>
            <wp:positionH relativeFrom="column">
              <wp:posOffset>14605</wp:posOffset>
            </wp:positionH>
            <wp:positionV relativeFrom="paragraph">
              <wp:posOffset>1479550</wp:posOffset>
            </wp:positionV>
            <wp:extent cx="5295265" cy="1719580"/>
            <wp:effectExtent l="0" t="0" r="19685" b="13970"/>
            <wp:wrapSquare wrapText="bothSides"/>
            <wp:docPr id="2"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r w:rsidR="0038602B">
        <w:rPr>
          <w:rFonts w:ascii="Times New Roman" w:hAnsi="Times New Roman" w:cs="Times New Roman"/>
          <w:sz w:val="24"/>
          <w:szCs w:val="24"/>
        </w:rPr>
        <w:t xml:space="preserve">Oman has been a founding and active member of the IORA, always seeking to enhance this cooperation </w:t>
      </w:r>
      <w:r w:rsidR="0038602B">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{"citationItems":[{"id":"ITEM-1","itemData":{"DOI":"10.1007/978-94-007-6821-5_10","author":[{"dropping-particle":"","family":"Wippel","given":"Steffen","non-dropping-particle":"","parse-names":false,"suffix":""}],"container-title":"Regionalizing Oman","id":"ITEM-1","issued":{"date-parts":[["2013"]]},"page":"159-183","publisher":"Springer Netherlands","publisher-place":"Dordrecht","title":"Oman and the Indian Ocean Rim – Economic Integration Across Conventional Meta-Regions","type":"chapter"},"uris":["http://www.mendeley.com/documents/?uuid=fa0069d8-af42-32af-9974-e44908ea1a42"]}],"mendeley":{"formattedCitation":"(Wippel, 2013)","plainTextFormattedCitation":"(Wippel, 2013)","previouslyFormattedCitation":"(Wippel, 2013)"},"properties":{"noteIndex":0},"schema":"https://github.com/citation-style-language/schema/raw/master/csl-citation.json"}</w:instrText>
      </w:r>
      <w:r w:rsidR="0038602B">
        <w:rPr>
          <w:rFonts w:ascii="Times New Roman" w:hAnsi="Times New Roman" w:cs="Times New Roman"/>
          <w:sz w:val="24"/>
          <w:szCs w:val="24"/>
        </w:rPr>
        <w:fldChar w:fldCharType="separate"/>
      </w:r>
      <w:r w:rsidR="0038602B" w:rsidRPr="00A431C5">
        <w:rPr>
          <w:rFonts w:ascii="Times New Roman" w:hAnsi="Times New Roman" w:cs="Times New Roman"/>
          <w:sz w:val="24"/>
          <w:szCs w:val="24"/>
        </w:rPr>
        <w:t>(Wippel, 2013)</w:t>
      </w:r>
      <w:r w:rsidR="0038602B">
        <w:rPr>
          <w:rFonts w:ascii="Times New Roman" w:hAnsi="Times New Roman" w:cs="Times New Roman"/>
          <w:sz w:val="24"/>
          <w:szCs w:val="24"/>
        </w:rPr>
        <w:fldChar w:fldCharType="end"/>
      </w:r>
      <w:r w:rsidR="0038602B">
        <w:rPr>
          <w:rFonts w:ascii="Times New Roman" w:hAnsi="Times New Roman" w:cs="Times New Roman"/>
          <w:sz w:val="24"/>
          <w:szCs w:val="24"/>
        </w:rPr>
        <w:t>. Oman is strategically located in the Indian Ocean</w:t>
      </w:r>
      <w:r w:rsidR="00AA4425">
        <w:rPr>
          <w:rFonts w:ascii="Times New Roman" w:hAnsi="Times New Roman" w:cs="Times New Roman"/>
          <w:sz w:val="24"/>
          <w:szCs w:val="24"/>
        </w:rPr>
        <w:t xml:space="preserve"> (</w:t>
      </w:r>
      <w:r w:rsidR="00AA4425" w:rsidRPr="006579CA">
        <w:rPr>
          <w:rFonts w:ascii="Times New Roman" w:hAnsi="Times New Roman" w:cs="Times New Roman"/>
          <w:sz w:val="24"/>
          <w:szCs w:val="24"/>
        </w:rPr>
        <w:t>Strait of Hormuz</w:t>
      </w:r>
      <w:r w:rsidR="00AA4425">
        <w:rPr>
          <w:rFonts w:ascii="Times New Roman" w:hAnsi="Times New Roman" w:cs="Times New Roman"/>
          <w:sz w:val="24"/>
          <w:szCs w:val="24"/>
        </w:rPr>
        <w:t>)</w:t>
      </w:r>
      <w:r w:rsidR="0038602B">
        <w:rPr>
          <w:rFonts w:ascii="Times New Roman" w:hAnsi="Times New Roman" w:cs="Times New Roman"/>
          <w:sz w:val="24"/>
          <w:szCs w:val="24"/>
        </w:rPr>
        <w:t xml:space="preserve"> </w:t>
      </w:r>
      <w:r w:rsidR="0038602B" w:rsidRPr="006579CA">
        <w:rPr>
          <w:rFonts w:ascii="Times New Roman" w:hAnsi="Times New Roman" w:cs="Times New Roman"/>
          <w:sz w:val="24"/>
          <w:szCs w:val="24"/>
        </w:rPr>
        <w:t xml:space="preserve">and </w:t>
      </w:r>
      <w:r w:rsidR="0038602B">
        <w:rPr>
          <w:rFonts w:ascii="Times New Roman" w:hAnsi="Times New Roman" w:cs="Times New Roman"/>
          <w:sz w:val="24"/>
          <w:szCs w:val="24"/>
        </w:rPr>
        <w:t>all its ports have direct</w:t>
      </w:r>
      <w:r w:rsidR="0038602B" w:rsidRPr="006579CA">
        <w:rPr>
          <w:rFonts w:ascii="Times New Roman" w:hAnsi="Times New Roman" w:cs="Times New Roman"/>
          <w:sz w:val="24"/>
          <w:szCs w:val="24"/>
        </w:rPr>
        <w:t xml:space="preserve"> access to </w:t>
      </w:r>
      <w:r w:rsidR="0038602B">
        <w:rPr>
          <w:rFonts w:ascii="Times New Roman" w:hAnsi="Times New Roman" w:cs="Times New Roman"/>
          <w:sz w:val="24"/>
          <w:szCs w:val="24"/>
        </w:rPr>
        <w:t>th</w:t>
      </w:r>
      <w:r w:rsidR="00B2417A">
        <w:rPr>
          <w:rFonts w:ascii="Times New Roman" w:hAnsi="Times New Roman" w:cs="Times New Roman"/>
          <w:sz w:val="24"/>
          <w:szCs w:val="24"/>
        </w:rPr>
        <w:t>is</w:t>
      </w:r>
      <w:r w:rsidR="0038602B">
        <w:rPr>
          <w:rFonts w:ascii="Times New Roman" w:hAnsi="Times New Roman" w:cs="Times New Roman"/>
          <w:sz w:val="24"/>
          <w:szCs w:val="24"/>
        </w:rPr>
        <w:t xml:space="preserve"> Ocean, making it </w:t>
      </w:r>
      <w:r w:rsidR="00AA4425">
        <w:rPr>
          <w:rFonts w:ascii="Times New Roman" w:hAnsi="Times New Roman" w:cs="Times New Roman"/>
          <w:sz w:val="24"/>
          <w:szCs w:val="24"/>
        </w:rPr>
        <w:t xml:space="preserve">potentiallty </w:t>
      </w:r>
      <w:r w:rsidR="0038602B">
        <w:rPr>
          <w:rFonts w:ascii="Times New Roman" w:hAnsi="Times New Roman" w:cs="Times New Roman"/>
          <w:sz w:val="24"/>
          <w:szCs w:val="24"/>
        </w:rPr>
        <w:t xml:space="preserve">a strong hold in global trade network. </w:t>
      </w:r>
      <w:r w:rsidR="00B2417A">
        <w:rPr>
          <w:rFonts w:ascii="Times New Roman" w:hAnsi="Times New Roman" w:cs="Times New Roman"/>
          <w:sz w:val="24"/>
          <w:szCs w:val="24"/>
        </w:rPr>
        <w:t>In recent years</w:t>
      </w:r>
      <w:r w:rsidR="00102043">
        <w:rPr>
          <w:rFonts w:ascii="Times New Roman" w:hAnsi="Times New Roman" w:cs="Times New Roman"/>
          <w:sz w:val="24"/>
          <w:szCs w:val="24"/>
        </w:rPr>
        <w:t>,</w:t>
      </w:r>
      <w:r w:rsidR="006112EA">
        <w:rPr>
          <w:rFonts w:ascii="Times New Roman" w:hAnsi="Times New Roman" w:cs="Times New Roman"/>
          <w:sz w:val="24"/>
          <w:szCs w:val="24"/>
        </w:rPr>
        <w:t xml:space="preserve"> </w:t>
      </w:r>
      <w:r w:rsidR="00B2417A">
        <w:rPr>
          <w:rFonts w:ascii="Times New Roman" w:hAnsi="Times New Roman" w:cs="Times New Roman"/>
          <w:sz w:val="24"/>
          <w:szCs w:val="24"/>
        </w:rPr>
        <w:t xml:space="preserve">Oman trade </w:t>
      </w:r>
      <w:r w:rsidR="00442C19">
        <w:rPr>
          <w:rFonts w:ascii="Times New Roman" w:hAnsi="Times New Roman" w:cs="Times New Roman"/>
          <w:sz w:val="24"/>
          <w:szCs w:val="24"/>
        </w:rPr>
        <w:t xml:space="preserve"> has </w:t>
      </w:r>
      <w:r w:rsidR="00B2417A">
        <w:rPr>
          <w:rFonts w:ascii="Times New Roman" w:hAnsi="Times New Roman" w:cs="Times New Roman"/>
          <w:sz w:val="24"/>
          <w:szCs w:val="24"/>
        </w:rPr>
        <w:t xml:space="preserve"> inclined towards the Indian Ocean </w:t>
      </w:r>
      <w:r w:rsidR="00442C19">
        <w:rPr>
          <w:rFonts w:ascii="Times New Roman" w:hAnsi="Times New Roman" w:cs="Times New Roman"/>
          <w:sz w:val="24"/>
          <w:szCs w:val="24"/>
        </w:rPr>
        <w:t xml:space="preserve">at the expense </w:t>
      </w:r>
      <w:r w:rsidR="008E7A3B">
        <w:rPr>
          <w:rFonts w:ascii="Times New Roman" w:hAnsi="Times New Roman" w:cs="Times New Roman"/>
          <w:sz w:val="24"/>
          <w:szCs w:val="24"/>
        </w:rPr>
        <w:t>of the GCC and GAFTA</w:t>
      </w:r>
      <w:r w:rsidR="00DC390A">
        <w:rPr>
          <w:rFonts w:ascii="Times New Roman" w:hAnsi="Times New Roman" w:cs="Times New Roman"/>
          <w:sz w:val="24"/>
          <w:szCs w:val="24"/>
        </w:rPr>
        <w:t xml:space="preserve"> (Fig 1)</w:t>
      </w:r>
      <w:r w:rsidR="00752D19">
        <w:rPr>
          <w:rFonts w:ascii="Times New Roman" w:hAnsi="Times New Roman" w:cs="Times New Roman"/>
          <w:sz w:val="24"/>
          <w:szCs w:val="24"/>
        </w:rPr>
        <w:t>.</w:t>
      </w:r>
    </w:p>
    <w:p w:rsidR="00DC390A" w:rsidRDefault="00DC390A" w:rsidP="0038602B">
      <w:pPr>
        <w:spacing w:after="0" w:line="360" w:lineRule="auto"/>
        <w:ind w:right="360"/>
        <w:jc w:val="both"/>
        <w:rPr>
          <w:rFonts w:ascii="Times New Roman" w:hAnsi="Times New Roman" w:cs="Times New Roman"/>
          <w:sz w:val="24"/>
          <w:szCs w:val="24"/>
        </w:rPr>
      </w:pPr>
    </w:p>
    <w:p w:rsidR="00175C9D" w:rsidRPr="00175C9D" w:rsidRDefault="00175C9D" w:rsidP="00175C9D">
      <w:pPr>
        <w:spacing w:line="240" w:lineRule="auto"/>
        <w:contextualSpacing/>
        <w:rPr>
          <w:rFonts w:asciiTheme="majorBidi" w:eastAsia="Times New Roman" w:hAnsiTheme="majorBidi" w:cs="Times New Roman"/>
          <w:i/>
          <w:iCs/>
          <w:noProof w:val="0"/>
          <w:color w:val="000000" w:themeColor="text1"/>
          <w:sz w:val="20"/>
          <w:szCs w:val="20"/>
        </w:rPr>
      </w:pPr>
      <w:r w:rsidRPr="00175C9D">
        <w:rPr>
          <w:rFonts w:asciiTheme="majorBidi" w:eastAsia="Times New Roman" w:hAnsiTheme="majorBidi" w:cs="Times New Roman"/>
          <w:i/>
          <w:iCs/>
          <w:noProof w:val="0"/>
          <w:color w:val="000000" w:themeColor="text1"/>
          <w:sz w:val="20"/>
          <w:szCs w:val="20"/>
        </w:rPr>
        <w:t>Figure 1 Oman’s total product export between 2006 to 2015 (UAE was excluded for re-export reason</w:t>
      </w:r>
    </w:p>
    <w:p w:rsidR="00175C9D" w:rsidRDefault="00175C9D" w:rsidP="009B786B">
      <w:pPr>
        <w:spacing w:after="0" w:line="360" w:lineRule="auto"/>
        <w:ind w:right="360"/>
        <w:jc w:val="both"/>
        <w:rPr>
          <w:rFonts w:ascii="Times New Roman" w:hAnsi="Times New Roman" w:cs="Times New Roman"/>
          <w:sz w:val="24"/>
          <w:szCs w:val="24"/>
        </w:rPr>
      </w:pPr>
      <w:r w:rsidRPr="00175C9D">
        <w:rPr>
          <w:rFonts w:asciiTheme="majorBidi" w:hAnsiTheme="majorBidi" w:cs="Times New Roman"/>
          <w:color w:val="000000" w:themeColor="text1"/>
          <w:sz w:val="20"/>
          <w:szCs w:val="20"/>
        </w:rPr>
        <w:t>Source: Authors Calculations using International Trade Center (ITC) database</w:t>
      </w:r>
      <w:r w:rsidRPr="00175C9D">
        <w:rPr>
          <w:noProof w:val="0"/>
        </w:rPr>
        <w:br w:type="textWrapping" w:clear="all"/>
      </w:r>
    </w:p>
    <w:p w:rsidR="00464C36" w:rsidRDefault="008E7A3B" w:rsidP="00D73B72">
      <w:pPr>
        <w:spacing w:after="0" w:line="360" w:lineRule="auto"/>
        <w:ind w:right="36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In this respect, </w:t>
      </w:r>
      <w:r w:rsidR="0038602B" w:rsidRPr="002523BB">
        <w:rPr>
          <w:rFonts w:ascii="Times New Roman" w:hAnsi="Times New Roman" w:cs="Times New Roman"/>
          <w:sz w:val="24"/>
          <w:szCs w:val="24"/>
        </w:rPr>
        <w:t xml:space="preserve">GCC have </w:t>
      </w:r>
      <w:r w:rsidR="00462CE6">
        <w:rPr>
          <w:rFonts w:ascii="Times New Roman" w:hAnsi="Times New Roman" w:cs="Times New Roman"/>
          <w:sz w:val="24"/>
          <w:szCs w:val="24"/>
        </w:rPr>
        <w:t>seemingly</w:t>
      </w:r>
      <w:r w:rsidR="0038602B" w:rsidRPr="002523BB">
        <w:rPr>
          <w:rFonts w:ascii="Times New Roman" w:hAnsi="Times New Roman" w:cs="Times New Roman"/>
          <w:sz w:val="24"/>
          <w:szCs w:val="24"/>
        </w:rPr>
        <w:t xml:space="preserve"> exhausted it</w:t>
      </w:r>
      <w:r w:rsidR="00375555">
        <w:rPr>
          <w:rFonts w:ascii="Times New Roman" w:hAnsi="Times New Roman" w:cs="Times New Roman"/>
          <w:sz w:val="24"/>
          <w:szCs w:val="24"/>
        </w:rPr>
        <w:t>s</w:t>
      </w:r>
      <w:r w:rsidR="0038602B" w:rsidRPr="002523BB">
        <w:rPr>
          <w:rFonts w:ascii="Times New Roman" w:hAnsi="Times New Roman" w:cs="Times New Roman"/>
          <w:sz w:val="24"/>
          <w:szCs w:val="24"/>
        </w:rPr>
        <w:t xml:space="preserve"> trade potential while the </w:t>
      </w:r>
      <w:r>
        <w:rPr>
          <w:rFonts w:ascii="Times New Roman" w:hAnsi="Times New Roman" w:cs="Times New Roman"/>
          <w:sz w:val="24"/>
          <w:szCs w:val="24"/>
        </w:rPr>
        <w:t xml:space="preserve">trade </w:t>
      </w:r>
      <w:r w:rsidR="0038602B" w:rsidRPr="002523BB">
        <w:rPr>
          <w:rFonts w:ascii="Times New Roman" w:hAnsi="Times New Roman" w:cs="Times New Roman"/>
          <w:sz w:val="24"/>
          <w:szCs w:val="24"/>
        </w:rPr>
        <w:t xml:space="preserve">agreement within the Middle East and North Africa </w:t>
      </w:r>
      <w:r w:rsidR="0038602B" w:rsidRPr="00464C36">
        <w:rPr>
          <w:rFonts w:ascii="Times New Roman" w:hAnsi="Times New Roman" w:cs="Times New Roman"/>
          <w:sz w:val="24"/>
          <w:szCs w:val="24"/>
        </w:rPr>
        <w:t>(</w:t>
      </w:r>
      <w:r w:rsidRPr="00464C36">
        <w:rPr>
          <w:rFonts w:ascii="Times New Roman" w:hAnsi="Times New Roman" w:cs="Times New Roman"/>
          <w:sz w:val="24"/>
          <w:szCs w:val="24"/>
        </w:rPr>
        <w:t>GAFTA)</w:t>
      </w:r>
      <w:r w:rsidR="0038602B" w:rsidRPr="002523BB">
        <w:rPr>
          <w:rFonts w:ascii="Times New Roman" w:hAnsi="Times New Roman" w:cs="Times New Roman"/>
          <w:sz w:val="24"/>
          <w:szCs w:val="24"/>
        </w:rPr>
        <w:t xml:space="preserve"> region had </w:t>
      </w:r>
      <w:r>
        <w:rPr>
          <w:rFonts w:ascii="Times New Roman" w:hAnsi="Times New Roman" w:cs="Times New Roman"/>
          <w:sz w:val="24"/>
          <w:szCs w:val="24"/>
        </w:rPr>
        <w:t xml:space="preserve">little </w:t>
      </w:r>
      <w:r w:rsidRPr="002523BB">
        <w:rPr>
          <w:rFonts w:ascii="Times New Roman" w:hAnsi="Times New Roman" w:cs="Times New Roman"/>
          <w:sz w:val="24"/>
          <w:szCs w:val="24"/>
        </w:rPr>
        <w:t xml:space="preserve"> </w:t>
      </w:r>
      <w:r w:rsidR="0038602B" w:rsidRPr="002523BB">
        <w:rPr>
          <w:rFonts w:ascii="Times New Roman" w:hAnsi="Times New Roman" w:cs="Times New Roman"/>
          <w:sz w:val="24"/>
          <w:szCs w:val="24"/>
        </w:rPr>
        <w:lastRenderedPageBreak/>
        <w:t>impact on intensifying</w:t>
      </w:r>
      <w:r w:rsidR="00462CE6">
        <w:rPr>
          <w:rFonts w:ascii="Times New Roman" w:hAnsi="Times New Roman" w:cs="Times New Roman"/>
          <w:sz w:val="24"/>
          <w:szCs w:val="24"/>
        </w:rPr>
        <w:t xml:space="preserve"> regional</w:t>
      </w:r>
      <w:r w:rsidR="0038602B" w:rsidRPr="002523BB">
        <w:rPr>
          <w:rFonts w:ascii="Times New Roman" w:hAnsi="Times New Roman" w:cs="Times New Roman"/>
          <w:sz w:val="24"/>
          <w:szCs w:val="24"/>
        </w:rPr>
        <w:t xml:space="preserve"> intra-trade</w:t>
      </w:r>
      <w:r>
        <w:rPr>
          <w:rFonts w:ascii="Times New Roman" w:hAnsi="Times New Roman" w:cs="Times New Roman"/>
          <w:sz w:val="24"/>
          <w:szCs w:val="24"/>
        </w:rPr>
        <w:t xml:space="preserve"> </w:t>
      </w:r>
      <w:r w:rsidR="0038602B">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{"citationItems":[{"id":"ITEM-1","itemData":{"author":[{"dropping-particle":"","family":"Dennis","given":"Allen","non-dropping-particle":"","parse-names":false,"suffix":""}],"id":"ITEM-1","issued":{"date-parts":[["2006"]]},"title":"The impact of regional trade agreements and trade facilitation in the Middle East and North Africa region","type":"article-journal"},"uris":["http://www.mendeley.com/documents/?uuid=55123ab9-4cbc-448f-be24-a783c39f4a76"]},{"id":"ITEM-2","itemData":{"author":[{"dropping-particle":"","family":"Boughanmi","given":"Houcine","non-dropping-particle":"","parse-names":false,"suffix":""}],"container-title":"Journal of Economic Integration","id":"ITEM-2","issue":"March","issued":{"date-parts":[["2008"]]},"page":"42-56","title":"The Trade Potential of the Arab Gulf Cooperation Countries ( GCC ): A Gravity Model","type":"article-journal","volume":"23"},"uris":["http://www.mendeley.com/documents/?uuid=317ba9ae-0ee2-4fc5-98ce-07ffbb84dd2f"]},{"id":"ITEM-3","itemData":{"author":[{"dropping-particle":"","family":"Hoekman","given":"Bernard M","non-dropping-particle":"","parse-names":false,"suffix":""}],"collection-title":"1","id":"ITEM-3","issued":{"date-parts":[["2016"]]},"title":"Intra-regional trade: potential catalyst for growth in the Middle East","type":"report"},"uris":["http://www.mendeley.com/documents/?uuid=21f1d896-a2d0-4c87-8234-b0cee412ca19"]}],"mendeley":{"formattedCitation":"(Boughanmi, 2008; Dennis, 2006; Hoekman, 2016)","plainTextFormattedCitation":"(Boughanmi, 2008; Dennis, 2006; Hoekman, 2016)","previouslyFormattedCitation":"(Boughanmi, 2008; Dennis, 2006; Hoekman, 2016)"},"properties":{"noteIndex":0},"schema":"https://github.com/citation-style-language/schema/raw/master/csl-citation.json"}</w:instrText>
      </w:r>
      <w:r w:rsidR="0038602B">
        <w:rPr>
          <w:rFonts w:ascii="Times New Roman" w:hAnsi="Times New Roman" w:cs="Times New Roman"/>
          <w:sz w:val="24"/>
          <w:szCs w:val="24"/>
        </w:rPr>
        <w:fldChar w:fldCharType="separate"/>
      </w:r>
      <w:r w:rsidR="0038602B" w:rsidRPr="0074618A">
        <w:rPr>
          <w:rFonts w:ascii="Times New Roman" w:hAnsi="Times New Roman" w:cs="Times New Roman"/>
          <w:sz w:val="24"/>
          <w:szCs w:val="24"/>
        </w:rPr>
        <w:t>(</w:t>
      </w:r>
      <w:r w:rsidR="00D73B72" w:rsidRPr="0074618A">
        <w:rPr>
          <w:rFonts w:ascii="Times New Roman" w:hAnsi="Times New Roman" w:cs="Times New Roman"/>
          <w:sz w:val="24"/>
          <w:szCs w:val="24"/>
        </w:rPr>
        <w:t>Dennis,</w:t>
      </w:r>
      <w:r w:rsidR="00D73B72">
        <w:rPr>
          <w:rFonts w:ascii="Times New Roman" w:hAnsi="Times New Roman" w:cs="Times New Roman"/>
          <w:sz w:val="24"/>
          <w:szCs w:val="24"/>
        </w:rPr>
        <w:t xml:space="preserve"> </w:t>
      </w:r>
      <w:r w:rsidR="00D73B72" w:rsidRPr="0074618A">
        <w:rPr>
          <w:rFonts w:ascii="Times New Roman" w:hAnsi="Times New Roman" w:cs="Times New Roman"/>
          <w:sz w:val="24"/>
          <w:szCs w:val="24"/>
        </w:rPr>
        <w:t>2006</w:t>
      </w:r>
      <w:r w:rsidR="00D73B72">
        <w:rPr>
          <w:rFonts w:ascii="Times New Roman" w:hAnsi="Times New Roman" w:cs="Times New Roman"/>
          <w:sz w:val="24"/>
          <w:szCs w:val="24"/>
        </w:rPr>
        <w:t xml:space="preserve">; </w:t>
      </w:r>
      <w:r w:rsidR="0038602B" w:rsidRPr="0074618A">
        <w:rPr>
          <w:rFonts w:ascii="Times New Roman" w:hAnsi="Times New Roman" w:cs="Times New Roman"/>
          <w:sz w:val="24"/>
          <w:szCs w:val="24"/>
        </w:rPr>
        <w:t>Boughanmi, 2008;; Hoekman, 2016)</w:t>
      </w:r>
      <w:r w:rsidR="0038602B">
        <w:rPr>
          <w:rFonts w:ascii="Times New Roman" w:hAnsi="Times New Roman" w:cs="Times New Roman"/>
          <w:sz w:val="24"/>
          <w:szCs w:val="24"/>
        </w:rPr>
        <w:fldChar w:fldCharType="end"/>
      </w:r>
      <w:r w:rsidR="0038602B">
        <w:rPr>
          <w:rFonts w:ascii="Times New Roman" w:hAnsi="Times New Roman" w:cs="Times New Roman"/>
          <w:sz w:val="24"/>
          <w:szCs w:val="24"/>
        </w:rPr>
        <w:t xml:space="preserve">. </w:t>
      </w:r>
      <w:r w:rsidR="00752D19">
        <w:rPr>
          <w:rFonts w:ascii="Times New Roman" w:hAnsi="Times New Roman" w:cs="Times New Roman"/>
          <w:sz w:val="24"/>
          <w:szCs w:val="24"/>
        </w:rPr>
        <w:t>However, t</w:t>
      </w:r>
      <w:r>
        <w:rPr>
          <w:rFonts w:ascii="Times New Roman" w:hAnsi="Times New Roman" w:cs="Times New Roman"/>
          <w:sz w:val="24"/>
          <w:szCs w:val="24"/>
        </w:rPr>
        <w:t>rade within IORA</w:t>
      </w:r>
      <w:r w:rsidR="00752D19">
        <w:rPr>
          <w:rFonts w:ascii="Times New Roman" w:hAnsi="Times New Roman" w:cs="Times New Roman"/>
          <w:sz w:val="24"/>
          <w:szCs w:val="24"/>
        </w:rPr>
        <w:t xml:space="preserve"> </w:t>
      </w:r>
      <w:r w:rsidR="0038602B">
        <w:rPr>
          <w:rFonts w:ascii="Times New Roman" w:hAnsi="Times New Roman" w:cs="Times New Roman"/>
          <w:sz w:val="24"/>
          <w:szCs w:val="24"/>
        </w:rPr>
        <w:t xml:space="preserve">is </w:t>
      </w:r>
      <w:r w:rsidR="00752D19">
        <w:rPr>
          <w:rFonts w:ascii="Times New Roman" w:hAnsi="Times New Roman" w:cs="Times New Roman"/>
          <w:sz w:val="24"/>
          <w:szCs w:val="24"/>
        </w:rPr>
        <w:t>likely to grow</w:t>
      </w:r>
      <w:r w:rsidR="0038602B">
        <w:rPr>
          <w:rFonts w:ascii="Times New Roman" w:hAnsi="Times New Roman" w:cs="Times New Roman"/>
          <w:sz w:val="24"/>
          <w:szCs w:val="24"/>
        </w:rPr>
        <w:t xml:space="preserve"> considering IORA </w:t>
      </w:r>
      <w:r w:rsidR="00462CE6">
        <w:rPr>
          <w:rFonts w:ascii="Times New Roman" w:hAnsi="Times New Roman" w:cs="Times New Roman"/>
          <w:sz w:val="24"/>
          <w:szCs w:val="24"/>
        </w:rPr>
        <w:t>commitments</w:t>
      </w:r>
      <w:r w:rsidR="0038602B">
        <w:rPr>
          <w:rFonts w:ascii="Times New Roman" w:hAnsi="Times New Roman" w:cs="Times New Roman"/>
          <w:sz w:val="24"/>
          <w:szCs w:val="24"/>
        </w:rPr>
        <w:t xml:space="preserve"> to further liberalize trade and </w:t>
      </w:r>
      <w:r w:rsidR="00462CE6">
        <w:rPr>
          <w:rFonts w:ascii="Times New Roman" w:hAnsi="Times New Roman" w:cs="Times New Roman"/>
          <w:sz w:val="24"/>
          <w:szCs w:val="24"/>
        </w:rPr>
        <w:t>the huge investment</w:t>
      </w:r>
      <w:r w:rsidR="00DD32A8">
        <w:rPr>
          <w:rFonts w:ascii="Times New Roman" w:hAnsi="Times New Roman" w:cs="Times New Roman"/>
          <w:sz w:val="24"/>
          <w:szCs w:val="24"/>
        </w:rPr>
        <w:t xml:space="preserve">  made by some members countries such as Oman</w:t>
      </w:r>
      <w:r w:rsidR="00462CE6">
        <w:rPr>
          <w:rFonts w:ascii="Times New Roman" w:hAnsi="Times New Roman" w:cs="Times New Roman"/>
          <w:sz w:val="24"/>
          <w:szCs w:val="24"/>
        </w:rPr>
        <w:t xml:space="preserve"> </w:t>
      </w:r>
      <w:r w:rsidR="0038602B">
        <w:rPr>
          <w:rFonts w:ascii="Times New Roman" w:hAnsi="Times New Roman" w:cs="Times New Roman"/>
          <w:sz w:val="24"/>
          <w:szCs w:val="24"/>
        </w:rPr>
        <w:t xml:space="preserve"> in port</w:t>
      </w:r>
      <w:r w:rsidR="00752D19">
        <w:rPr>
          <w:rFonts w:ascii="Times New Roman" w:hAnsi="Times New Roman" w:cs="Times New Roman"/>
          <w:sz w:val="24"/>
          <w:szCs w:val="24"/>
        </w:rPr>
        <w:t>s’</w:t>
      </w:r>
      <w:r w:rsidR="0038602B">
        <w:rPr>
          <w:rFonts w:ascii="Times New Roman" w:hAnsi="Times New Roman" w:cs="Times New Roman"/>
          <w:sz w:val="24"/>
          <w:szCs w:val="24"/>
        </w:rPr>
        <w:t xml:space="preserve"> infrastructure</w:t>
      </w:r>
      <w:r w:rsidR="00DD32A8">
        <w:rPr>
          <w:rFonts w:ascii="Times New Roman" w:hAnsi="Times New Roman" w:cs="Times New Roman"/>
          <w:sz w:val="24"/>
          <w:szCs w:val="24"/>
        </w:rPr>
        <w:t>’</w:t>
      </w:r>
      <w:r w:rsidR="0038602B">
        <w:rPr>
          <w:rFonts w:ascii="Times New Roman" w:hAnsi="Times New Roman" w:cs="Times New Roman"/>
          <w:sz w:val="24"/>
          <w:szCs w:val="24"/>
        </w:rPr>
        <w:t>.</w:t>
      </w:r>
      <w:r w:rsidR="0038602B" w:rsidRPr="000246CA">
        <w:rPr>
          <w:rFonts w:ascii="Times New Roman" w:hAnsi="Times New Roman" w:cs="Times New Roman"/>
          <w:color w:val="000000" w:themeColor="text1"/>
          <w:sz w:val="24"/>
          <w:szCs w:val="24"/>
        </w:rPr>
        <w:t xml:space="preserve"> </w:t>
      </w:r>
      <w:r w:rsidR="00752D19">
        <w:rPr>
          <w:rFonts w:ascii="Times New Roman" w:hAnsi="Times New Roman" w:cs="Times New Roman"/>
          <w:color w:val="000000" w:themeColor="text1"/>
          <w:sz w:val="24"/>
          <w:szCs w:val="24"/>
        </w:rPr>
        <w:t xml:space="preserve">These changes could portray </w:t>
      </w:r>
      <w:r w:rsidR="00752D19">
        <w:rPr>
          <w:rFonts w:ascii="Times New Roman" w:hAnsi="Times New Roman" w:cs="Times New Roman"/>
          <w:sz w:val="24"/>
          <w:szCs w:val="24"/>
        </w:rPr>
        <w:t xml:space="preserve">a shift </w:t>
      </w:r>
      <w:r w:rsidR="005E7D68">
        <w:rPr>
          <w:rFonts w:ascii="Times New Roman" w:hAnsi="Times New Roman" w:cs="Times New Roman"/>
          <w:sz w:val="24"/>
          <w:szCs w:val="24"/>
        </w:rPr>
        <w:t xml:space="preserve">in Oman’s trade pattern </w:t>
      </w:r>
      <w:r w:rsidR="00752D19">
        <w:rPr>
          <w:rFonts w:ascii="Times New Roman" w:hAnsi="Times New Roman" w:cs="Times New Roman"/>
          <w:sz w:val="24"/>
          <w:szCs w:val="24"/>
        </w:rPr>
        <w:t xml:space="preserve">away from </w:t>
      </w:r>
      <w:r w:rsidR="005E7D68">
        <w:rPr>
          <w:rFonts w:ascii="Times New Roman" w:hAnsi="Times New Roman" w:cs="Times New Roman"/>
          <w:sz w:val="24"/>
          <w:szCs w:val="24"/>
        </w:rPr>
        <w:t xml:space="preserve">a region to which it has been traditionally and culturally linked (MENA) </w:t>
      </w:r>
      <w:r w:rsidR="005E7D68">
        <w:rPr>
          <w:rFonts w:ascii="Times New Roman" w:hAnsi="Times New Roman" w:cs="Times New Roman"/>
          <w:color w:val="000000" w:themeColor="text1"/>
          <w:sz w:val="24"/>
          <w:szCs w:val="24"/>
        </w:rPr>
        <w:t xml:space="preserve">toward a region with which it </w:t>
      </w:r>
      <w:r w:rsidR="0038602B" w:rsidRPr="00237099">
        <w:rPr>
          <w:rFonts w:ascii="Times New Roman" w:hAnsi="Times New Roman" w:cs="Times New Roman"/>
          <w:color w:val="000000" w:themeColor="text1"/>
          <w:sz w:val="24"/>
          <w:szCs w:val="24"/>
        </w:rPr>
        <w:t>has historically  entertained a strong economic and trade linkage</w:t>
      </w:r>
      <w:r w:rsidR="005E7D68">
        <w:rPr>
          <w:rFonts w:ascii="Times New Roman" w:hAnsi="Times New Roman" w:cs="Times New Roman"/>
          <w:color w:val="000000" w:themeColor="text1"/>
          <w:sz w:val="24"/>
          <w:szCs w:val="24"/>
        </w:rPr>
        <w:t xml:space="preserve"> (IORA). This shift </w:t>
      </w:r>
      <w:r w:rsidR="0038602B" w:rsidRPr="00237099">
        <w:rPr>
          <w:rFonts w:ascii="Times New Roman" w:hAnsi="Times New Roman" w:cs="Times New Roman"/>
          <w:color w:val="000000" w:themeColor="text1"/>
          <w:sz w:val="24"/>
          <w:szCs w:val="24"/>
        </w:rPr>
        <w:t xml:space="preserve"> could represent a source of potential trade expansion and economic growth</w:t>
      </w:r>
      <w:r w:rsidR="005E7D68">
        <w:rPr>
          <w:rFonts w:ascii="Times New Roman" w:hAnsi="Times New Roman" w:cs="Times New Roman"/>
          <w:color w:val="000000" w:themeColor="text1"/>
          <w:sz w:val="24"/>
          <w:szCs w:val="24"/>
        </w:rPr>
        <w:t xml:space="preserve"> for Oman</w:t>
      </w:r>
      <w:r w:rsidR="0038602B" w:rsidRPr="00237099">
        <w:rPr>
          <w:rFonts w:ascii="Times New Roman" w:hAnsi="Times New Roman" w:cs="Times New Roman"/>
          <w:color w:val="000000" w:themeColor="text1"/>
          <w:sz w:val="24"/>
          <w:szCs w:val="24"/>
        </w:rPr>
        <w:t>.</w:t>
      </w:r>
      <w:r w:rsidR="0038602B">
        <w:rPr>
          <w:rFonts w:ascii="Times New Roman" w:hAnsi="Times New Roman" w:cs="Times New Roman"/>
          <w:color w:val="000000" w:themeColor="text1"/>
          <w:sz w:val="24"/>
          <w:szCs w:val="24"/>
        </w:rPr>
        <w:t xml:space="preserve"> </w:t>
      </w:r>
    </w:p>
    <w:p w:rsidR="00DD32A8" w:rsidRDefault="00DD32A8" w:rsidP="00630441">
      <w:pPr>
        <w:spacing w:after="0" w:line="360" w:lineRule="auto"/>
        <w:ind w:right="360"/>
        <w:jc w:val="both"/>
        <w:rPr>
          <w:rFonts w:ascii="Times New Roman" w:hAnsi="Times New Roman" w:cs="Times New Roman"/>
          <w:color w:val="000000" w:themeColor="text1"/>
          <w:sz w:val="24"/>
          <w:szCs w:val="24"/>
        </w:rPr>
      </w:pPr>
    </w:p>
    <w:p w:rsidR="00464C36" w:rsidRPr="00630441" w:rsidRDefault="0038602B" w:rsidP="00034198">
      <w:pPr>
        <w:spacing w:after="0" w:line="360" w:lineRule="auto"/>
        <w:ind w:righ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objective of this</w:t>
      </w:r>
      <w:r w:rsidR="00F713A4">
        <w:rPr>
          <w:rFonts w:ascii="Times New Roman" w:hAnsi="Times New Roman" w:cs="Times New Roman"/>
          <w:color w:val="000000" w:themeColor="text1"/>
          <w:sz w:val="24"/>
          <w:szCs w:val="24"/>
        </w:rPr>
        <w:t xml:space="preserve"> study</w:t>
      </w:r>
      <w:r>
        <w:rPr>
          <w:rFonts w:ascii="Times New Roman" w:hAnsi="Times New Roman" w:cs="Times New Roman"/>
          <w:color w:val="000000" w:themeColor="text1"/>
          <w:sz w:val="24"/>
          <w:szCs w:val="24"/>
        </w:rPr>
        <w:t xml:space="preserve"> is to analyze the pattern of </w:t>
      </w:r>
      <w:r w:rsidR="00BC5347">
        <w:rPr>
          <w:rFonts w:ascii="Times New Roman" w:hAnsi="Times New Roman" w:cs="Times New Roman"/>
          <w:color w:val="000000" w:themeColor="text1"/>
          <w:sz w:val="24"/>
          <w:szCs w:val="24"/>
        </w:rPr>
        <w:t>IORA-</w:t>
      </w:r>
      <w:r>
        <w:rPr>
          <w:rFonts w:ascii="Times New Roman" w:hAnsi="Times New Roman" w:cs="Times New Roman"/>
          <w:color w:val="000000" w:themeColor="text1"/>
          <w:sz w:val="24"/>
          <w:szCs w:val="24"/>
        </w:rPr>
        <w:t xml:space="preserve">Oman trade </w:t>
      </w:r>
      <w:r w:rsidR="005E7D68">
        <w:rPr>
          <w:rFonts w:ascii="Times New Roman" w:hAnsi="Times New Roman" w:cs="Times New Roman"/>
          <w:color w:val="000000" w:themeColor="text1"/>
          <w:sz w:val="24"/>
          <w:szCs w:val="24"/>
        </w:rPr>
        <w:t>and estimate the trade potential of Oman in this region</w:t>
      </w:r>
      <w:r w:rsidR="00D465ED">
        <w:rPr>
          <w:rFonts w:ascii="Times New Roman" w:hAnsi="Times New Roman" w:cs="Times New Roman"/>
          <w:color w:val="000000" w:themeColor="text1"/>
          <w:sz w:val="24"/>
          <w:szCs w:val="24"/>
        </w:rPr>
        <w:t>.</w:t>
      </w:r>
      <w:r w:rsidRPr="0039504E">
        <w:rPr>
          <w:rFonts w:ascii="Times New Roman" w:hAnsi="Times New Roman" w:cs="Times New Roman"/>
          <w:color w:val="000000" w:themeColor="text1"/>
          <w:sz w:val="24"/>
          <w:szCs w:val="24"/>
        </w:rPr>
        <w:t xml:space="preserve"> This </w:t>
      </w:r>
      <w:r w:rsidR="00F713A4">
        <w:rPr>
          <w:rFonts w:ascii="Times New Roman" w:hAnsi="Times New Roman" w:cs="Times New Roman"/>
          <w:color w:val="000000" w:themeColor="text1"/>
          <w:sz w:val="24"/>
          <w:szCs w:val="24"/>
        </w:rPr>
        <w:t>study</w:t>
      </w:r>
      <w:r w:rsidRPr="0039504E">
        <w:rPr>
          <w:rFonts w:ascii="Times New Roman" w:hAnsi="Times New Roman" w:cs="Times New Roman"/>
          <w:color w:val="000000" w:themeColor="text1"/>
          <w:sz w:val="24"/>
          <w:szCs w:val="24"/>
        </w:rPr>
        <w:t xml:space="preserve"> is the first to empirically </w:t>
      </w:r>
      <w:r>
        <w:rPr>
          <w:rFonts w:ascii="Times New Roman" w:hAnsi="Times New Roman" w:cs="Times New Roman"/>
          <w:color w:val="000000" w:themeColor="text1"/>
          <w:sz w:val="24"/>
          <w:szCs w:val="24"/>
        </w:rPr>
        <w:t>consider</w:t>
      </w:r>
      <w:r w:rsidRPr="0039504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IORA </w:t>
      </w:r>
      <w:r w:rsidRPr="0039504E">
        <w:rPr>
          <w:rFonts w:ascii="Times New Roman" w:hAnsi="Times New Roman" w:cs="Times New Roman"/>
          <w:color w:val="000000" w:themeColor="text1"/>
          <w:sz w:val="24"/>
          <w:szCs w:val="24"/>
        </w:rPr>
        <w:t xml:space="preserve">as a trading bloc </w:t>
      </w:r>
      <w:r w:rsidR="008B7119">
        <w:rPr>
          <w:rFonts w:ascii="Times New Roman" w:hAnsi="Times New Roman" w:cs="Times New Roman"/>
          <w:color w:val="000000" w:themeColor="text1"/>
          <w:sz w:val="24"/>
          <w:szCs w:val="24"/>
        </w:rPr>
        <w:t>within the context of its broader traditional geographical and cultural linkages.</w:t>
      </w:r>
      <w:r w:rsidR="00630441">
        <w:rPr>
          <w:rFonts w:ascii="Times New Roman" w:hAnsi="Times New Roman" w:cs="Times New Roman"/>
          <w:color w:val="000000" w:themeColor="text1"/>
          <w:sz w:val="24"/>
          <w:szCs w:val="24"/>
        </w:rPr>
        <w:t xml:space="preserve"> </w:t>
      </w:r>
      <w:bookmarkStart w:id="1" w:name="_Toc514600542"/>
      <w:r w:rsidR="00DD32A8">
        <w:rPr>
          <w:rFonts w:ascii="Times New Roman" w:hAnsi="Times New Roman" w:cs="Times New Roman"/>
          <w:color w:val="000000" w:themeColor="text1"/>
          <w:sz w:val="24"/>
          <w:szCs w:val="24"/>
        </w:rPr>
        <w:t xml:space="preserve">The next section will present a background on the genesis </w:t>
      </w:r>
      <w:r w:rsidR="004F7D4B">
        <w:rPr>
          <w:rFonts w:ascii="Times New Roman" w:hAnsi="Times New Roman" w:cs="Times New Roman"/>
          <w:color w:val="000000" w:themeColor="text1"/>
          <w:sz w:val="24"/>
          <w:szCs w:val="24"/>
        </w:rPr>
        <w:t>of the</w:t>
      </w:r>
      <w:r w:rsidR="00DD32A8">
        <w:rPr>
          <w:rFonts w:ascii="Times New Roman" w:hAnsi="Times New Roman" w:cs="Times New Roman"/>
          <w:color w:val="000000" w:themeColor="text1"/>
          <w:sz w:val="24"/>
          <w:szCs w:val="24"/>
        </w:rPr>
        <w:t xml:space="preserve"> Indian Ocean Rim Association</w:t>
      </w:r>
      <w:r w:rsidR="004F7D4B">
        <w:rPr>
          <w:rFonts w:ascii="Times New Roman" w:hAnsi="Times New Roman" w:cs="Times New Roman"/>
          <w:color w:val="000000" w:themeColor="text1"/>
          <w:sz w:val="24"/>
          <w:szCs w:val="24"/>
        </w:rPr>
        <w:t>, while section 3 and 4 present the regional trade structure and Oman</w:t>
      </w:r>
      <w:r w:rsidR="007C09CE">
        <w:rPr>
          <w:rFonts w:ascii="Times New Roman" w:hAnsi="Times New Roman" w:cs="Times New Roman"/>
          <w:color w:val="000000" w:themeColor="text1"/>
          <w:sz w:val="24"/>
          <w:szCs w:val="24"/>
        </w:rPr>
        <w:t xml:space="preserve">’s trade patterns in relation to IORA and other regional groupings. </w:t>
      </w:r>
      <w:r w:rsidR="004F7D4B">
        <w:rPr>
          <w:rFonts w:ascii="Times New Roman" w:hAnsi="Times New Roman" w:cs="Times New Roman"/>
          <w:color w:val="000000" w:themeColor="text1"/>
          <w:sz w:val="24"/>
          <w:szCs w:val="24"/>
        </w:rPr>
        <w:t xml:space="preserve">Section </w:t>
      </w:r>
      <w:r w:rsidR="007C09CE">
        <w:rPr>
          <w:rFonts w:ascii="Times New Roman" w:hAnsi="Times New Roman" w:cs="Times New Roman"/>
          <w:color w:val="000000" w:themeColor="text1"/>
          <w:sz w:val="24"/>
          <w:szCs w:val="24"/>
        </w:rPr>
        <w:t>5 and 6</w:t>
      </w:r>
      <w:r w:rsidR="004F7D4B">
        <w:rPr>
          <w:rFonts w:ascii="Times New Roman" w:hAnsi="Times New Roman" w:cs="Times New Roman"/>
          <w:color w:val="000000" w:themeColor="text1"/>
          <w:sz w:val="24"/>
          <w:szCs w:val="24"/>
        </w:rPr>
        <w:t xml:space="preserve"> </w:t>
      </w:r>
      <w:r w:rsidR="007C09CE">
        <w:rPr>
          <w:rFonts w:ascii="Times New Roman" w:hAnsi="Times New Roman" w:cs="Times New Roman"/>
          <w:color w:val="000000" w:themeColor="text1"/>
          <w:sz w:val="24"/>
          <w:szCs w:val="24"/>
        </w:rPr>
        <w:t>present the model, the underlying estimation issues and the data used in the analysis. Section 7 present the results</w:t>
      </w:r>
      <w:r w:rsidR="00034198">
        <w:rPr>
          <w:rFonts w:ascii="Times New Roman" w:hAnsi="Times New Roman" w:cs="Times New Roman"/>
          <w:color w:val="000000" w:themeColor="text1"/>
          <w:sz w:val="24"/>
          <w:szCs w:val="24"/>
        </w:rPr>
        <w:t xml:space="preserve">, their interpretation and policy implications. Section 8 discusses the trade potential of Oman in light of the empirical results and section 9 concludes. </w:t>
      </w:r>
      <w:r w:rsidR="007C09CE">
        <w:rPr>
          <w:rFonts w:ascii="Times New Roman" w:hAnsi="Times New Roman" w:cs="Times New Roman"/>
          <w:color w:val="000000" w:themeColor="text1"/>
          <w:sz w:val="24"/>
          <w:szCs w:val="24"/>
        </w:rPr>
        <w:t xml:space="preserve">   </w:t>
      </w:r>
      <w:r w:rsidR="004F7D4B">
        <w:rPr>
          <w:rFonts w:ascii="Times New Roman" w:hAnsi="Times New Roman" w:cs="Times New Roman"/>
          <w:color w:val="000000" w:themeColor="text1"/>
          <w:sz w:val="24"/>
          <w:szCs w:val="24"/>
        </w:rPr>
        <w:t xml:space="preserve"> </w:t>
      </w:r>
    </w:p>
    <w:p w:rsidR="0053746F" w:rsidRDefault="0053746F" w:rsidP="00BC5347">
      <w:pPr>
        <w:pStyle w:val="Heading2"/>
        <w:spacing w:after="120"/>
        <w:rPr>
          <w:rFonts w:asciiTheme="majorBidi" w:hAnsiTheme="majorBidi"/>
          <w:b/>
          <w:bCs/>
          <w:i/>
          <w:iCs/>
          <w:sz w:val="24"/>
          <w:szCs w:val="24"/>
        </w:rPr>
      </w:pPr>
    </w:p>
    <w:p w:rsidR="00661C8B" w:rsidRPr="00BC5347" w:rsidRDefault="00661C8B" w:rsidP="00BC5347">
      <w:pPr>
        <w:pStyle w:val="Heading2"/>
        <w:spacing w:after="120"/>
        <w:rPr>
          <w:rFonts w:asciiTheme="majorBidi" w:hAnsiTheme="majorBidi"/>
          <w:b/>
          <w:bCs/>
          <w:i/>
          <w:iCs/>
          <w:sz w:val="24"/>
          <w:szCs w:val="24"/>
        </w:rPr>
      </w:pPr>
      <w:r>
        <w:rPr>
          <w:rFonts w:asciiTheme="majorBidi" w:hAnsiTheme="majorBidi"/>
          <w:b/>
          <w:bCs/>
          <w:i/>
          <w:iCs/>
          <w:sz w:val="24"/>
          <w:szCs w:val="24"/>
        </w:rPr>
        <w:t>II</w:t>
      </w:r>
      <w:r w:rsidR="004F7D4B">
        <w:rPr>
          <w:rFonts w:asciiTheme="majorBidi" w:hAnsiTheme="majorBidi"/>
          <w:b/>
          <w:bCs/>
          <w:i/>
          <w:iCs/>
          <w:sz w:val="24"/>
          <w:szCs w:val="24"/>
        </w:rPr>
        <w:t>.</w:t>
      </w:r>
      <w:r>
        <w:rPr>
          <w:rFonts w:asciiTheme="majorBidi" w:hAnsiTheme="majorBidi"/>
          <w:b/>
          <w:bCs/>
          <w:i/>
          <w:iCs/>
          <w:sz w:val="24"/>
          <w:szCs w:val="24"/>
        </w:rPr>
        <w:t xml:space="preserve"> </w:t>
      </w:r>
      <w:r>
        <w:rPr>
          <w:rFonts w:asciiTheme="majorBidi" w:hAnsiTheme="majorBidi"/>
          <w:b/>
          <w:bCs/>
          <w:i/>
          <w:iCs/>
          <w:sz w:val="24"/>
          <w:szCs w:val="24"/>
        </w:rPr>
        <w:tab/>
      </w:r>
      <w:r w:rsidR="00003A02" w:rsidRPr="003A4EB2">
        <w:rPr>
          <w:rFonts w:asciiTheme="majorBidi" w:hAnsiTheme="majorBidi"/>
          <w:b/>
          <w:bCs/>
          <w:i/>
          <w:iCs/>
          <w:sz w:val="24"/>
          <w:szCs w:val="24"/>
        </w:rPr>
        <w:t>Background of Indian Ocean Rim Association (IORA)</w:t>
      </w:r>
      <w:bookmarkEnd w:id="1"/>
    </w:p>
    <w:p w:rsidR="00464C36" w:rsidRDefault="00003A02" w:rsidP="00D73B72">
      <w:pPr>
        <w:spacing w:after="0" w:line="360" w:lineRule="auto"/>
        <w:ind w:right="360"/>
        <w:jc w:val="both"/>
        <w:rPr>
          <w:rFonts w:ascii="Times New Roman" w:hAnsi="Times New Roman" w:cs="Times New Roman"/>
          <w:sz w:val="24"/>
          <w:szCs w:val="24"/>
        </w:rPr>
      </w:pPr>
      <w:r>
        <w:rPr>
          <w:rFonts w:ascii="Times New Roman" w:hAnsi="Times New Roman" w:cs="Times New Roman"/>
          <w:sz w:val="24"/>
          <w:szCs w:val="24"/>
        </w:rPr>
        <w:t xml:space="preserve">The Indian Ocean is the third world largest ocean accommodating half of the world’s container ship. It accounts for 20-30 % of global shipments with about </w:t>
      </w:r>
      <w:r w:rsidRPr="00817E95">
        <w:rPr>
          <w:rFonts w:ascii="Times New Roman" w:hAnsi="Times New Roman" w:cs="Times New Roman"/>
          <w:sz w:val="24"/>
          <w:szCs w:val="24"/>
        </w:rPr>
        <w:t>100,000 ships transit</w:t>
      </w:r>
      <w:r>
        <w:rPr>
          <w:rFonts w:ascii="Times New Roman" w:hAnsi="Times New Roman" w:cs="Times New Roman"/>
          <w:sz w:val="24"/>
          <w:szCs w:val="24"/>
        </w:rPr>
        <w:t>ing</w:t>
      </w:r>
      <w:r w:rsidRPr="00817E95">
        <w:rPr>
          <w:rFonts w:ascii="Times New Roman" w:hAnsi="Times New Roman" w:cs="Times New Roman"/>
          <w:sz w:val="24"/>
          <w:szCs w:val="24"/>
        </w:rPr>
        <w:t xml:space="preserve"> the region annually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{"citationItems":[{"id":"ITEM-1","itemData":{"DOI":"10.1080/19480881.2016.1138713","ISSN":"1948108X","abstract":"ABSTRACTThe Indian Ocean is a vital part of the economies, livelihoods and cultural identities of the States which border or lie within its boundaries. Fisheries, offshore oil and gas, tourism and maritime industries are already making a significant contribution to the economies of the Indian Ocean states. New opportunities are appearing in these established sectors and new emerging sectors which will require a cooperative approach to capture and exploit in a sustainable manner. The ocean does not recognise geopolitical boundaries and many of its ecosystems and much of its biodiversity are transboundary which can give rise to competitive exploitation. We propose that continued, coordinated and proactive growth of the blue economies within the Indian Ocean need to be built upon principles of:• sharing of skills, data and knowledge;• integrated regional scale planning between nations;• adoption of marine-specific policies;•  robust governance for industry and governments to work within and which the communi...","author":[{"dropping-particle":"","family":"Llewellyn","given":"Lyndon E.","non-dropping-particle":"","parse-names":false,"suffix":""},{"dropping-particle":"","family":"English","given":"Susan","non-dropping-particle":"","parse-names":false,"suffix":""},{"dropping-particle":"","family":"Barnwell","given":"Sharon","non-dropping-particle":"","parse-names":false,"suffix":""}],"container-title":"Journal of the Indian Ocean Region","id":"ITEM-1","issue":"1","issued":{"date-parts":[["2016"]]},"page":"52-66","publisher":"Taylor &amp; Francis","title":"A roadmap to a sustainable Indian Ocean blue economy","type":"article-journal","volume":"12"},"uris":["http://www.mendeley.com/documents/?uuid=fb3d2f0a-0f18-490c-84c3-e8dcee393eb5"]},{"id":"ITEM-2","itemData":{"author":[{"dropping-particle":"","family":"Mohanty","given":"S. K.","non-dropping-particle":"","parse-names":false,"suffix":""},{"dropping-particle":"","family":"Dash","given":"Priyadarshi","non-dropping-particle":"","parse-names":false,"suffix":""}],"id":"ITEM-2","issued":{"date-parts":[["2015"]]},"publisher-place":"New Delhi, India","title":"Trade and Investment Prospects of the IORA in the New Millennium New Economic Frontiers of the Region","type":"report"},"uris":["http://www.mendeley.com/documents/?uuid=ccccfc38-d7d4-40a6-b920-99cb0c33ecfd"]}],"mendeley":{"formattedCitation":"(Llewellyn, English, &amp; Barnwell, 2016; Mohanty &amp; Dash, 2015)","manualFormatting":"(Llewellyn et al, 2016; Mohanty &amp; Dash, 2015)","plainTextFormattedCitation":"(Llewellyn, English, &amp; Barnwell, 2016; Mohanty &amp; Dash, 2015)","previouslyFormattedCitation":"(Llewellyn, English, &amp; Barnwell, 2016; Mohanty &amp; Dash, 2015)"},"properties":{"noteIndex":0},"schema":"https://github.com/citation-style-language/schema/raw/master/csl-citation.json"}</w:instrText>
      </w:r>
      <w:r>
        <w:rPr>
          <w:rFonts w:ascii="Times New Roman" w:hAnsi="Times New Roman" w:cs="Times New Roman"/>
          <w:sz w:val="24"/>
          <w:szCs w:val="24"/>
        </w:rPr>
        <w:fldChar w:fldCharType="separate"/>
      </w:r>
      <w:r w:rsidRPr="0077483E">
        <w:rPr>
          <w:rFonts w:ascii="Times New Roman" w:hAnsi="Times New Roman" w:cs="Times New Roman"/>
          <w:sz w:val="24"/>
          <w:szCs w:val="24"/>
        </w:rPr>
        <w:t>(</w:t>
      </w:r>
      <w:r w:rsidR="00D73B72" w:rsidRPr="00D73B72">
        <w:rPr>
          <w:rFonts w:ascii="Times New Roman" w:hAnsi="Times New Roman" w:cs="Times New Roman"/>
          <w:sz w:val="24"/>
          <w:szCs w:val="24"/>
        </w:rPr>
        <w:t xml:space="preserve"> </w:t>
      </w:r>
      <w:r w:rsidR="00D73B72" w:rsidRPr="0077483E">
        <w:rPr>
          <w:rFonts w:ascii="Times New Roman" w:hAnsi="Times New Roman" w:cs="Times New Roman"/>
          <w:sz w:val="24"/>
          <w:szCs w:val="24"/>
        </w:rPr>
        <w:t>Mohanty &amp; Dash, 2015</w:t>
      </w:r>
      <w:r w:rsidR="00D73B72">
        <w:rPr>
          <w:rFonts w:ascii="Times New Roman" w:hAnsi="Times New Roman" w:cs="Times New Roman"/>
          <w:sz w:val="24"/>
          <w:szCs w:val="24"/>
        </w:rPr>
        <w:t xml:space="preserve">; </w:t>
      </w:r>
      <w:r w:rsidRPr="0077483E">
        <w:rPr>
          <w:rFonts w:ascii="Times New Roman" w:hAnsi="Times New Roman" w:cs="Times New Roman"/>
          <w:sz w:val="24"/>
          <w:szCs w:val="24"/>
        </w:rPr>
        <w:t>Llewellyn</w:t>
      </w:r>
      <w:r>
        <w:rPr>
          <w:rFonts w:ascii="Times New Roman" w:hAnsi="Times New Roman" w:cs="Times New Roman"/>
          <w:sz w:val="24"/>
          <w:szCs w:val="24"/>
        </w:rPr>
        <w:t xml:space="preserve"> </w:t>
      </w:r>
      <w:r w:rsidRPr="00A60FDF">
        <w:rPr>
          <w:rFonts w:ascii="Times New Roman" w:hAnsi="Times New Roman" w:cs="Times New Roman"/>
          <w:i/>
          <w:iCs/>
          <w:sz w:val="24"/>
          <w:szCs w:val="24"/>
        </w:rPr>
        <w:t>et al</w:t>
      </w:r>
      <w:r w:rsidRPr="0077483E">
        <w:rPr>
          <w:rFonts w:ascii="Times New Roman" w:hAnsi="Times New Roman" w:cs="Times New Roman"/>
          <w:sz w:val="24"/>
          <w:szCs w:val="24"/>
        </w:rPr>
        <w:t>, 2016;)</w:t>
      </w:r>
      <w:r>
        <w:rPr>
          <w:rFonts w:ascii="Times New Roman" w:hAnsi="Times New Roman" w:cs="Times New Roman"/>
          <w:sz w:val="24"/>
          <w:szCs w:val="24"/>
        </w:rPr>
        <w:fldChar w:fldCharType="end"/>
      </w:r>
      <w:r>
        <w:rPr>
          <w:rFonts w:ascii="Times New Roman" w:hAnsi="Times New Roman" w:cs="Times New Roman"/>
          <w:sz w:val="24"/>
          <w:szCs w:val="24"/>
        </w:rPr>
        <w:t>.</w:t>
      </w:r>
      <w:r w:rsidRPr="00364BDA">
        <w:rPr>
          <w:rFonts w:ascii="Times New Roman" w:hAnsi="Times New Roman" w:cs="Times New Roman"/>
          <w:sz w:val="24"/>
          <w:szCs w:val="24"/>
          <w:shd w:val="clear" w:color="auto" w:fill="FFFFFF"/>
        </w:rPr>
        <w:t xml:space="preserve"> </w:t>
      </w:r>
    </w:p>
    <w:p w:rsidR="00003A02" w:rsidRDefault="00003A02" w:rsidP="00003A02">
      <w:pPr>
        <w:spacing w:line="360" w:lineRule="auto"/>
        <w:ind w:right="360"/>
        <w:jc w:val="both"/>
        <w:rPr>
          <w:rFonts w:ascii="Times New Roman" w:hAnsi="Times New Roman" w:cs="Times New Roman"/>
          <w:color w:val="000000" w:themeColor="text1"/>
          <w:sz w:val="24"/>
          <w:szCs w:val="24"/>
        </w:rPr>
      </w:pPr>
      <w:r w:rsidRPr="008E5DA3">
        <w:rPr>
          <w:rFonts w:ascii="Times New Roman" w:hAnsi="Times New Roman" w:cs="Times New Roman"/>
          <w:sz w:val="24"/>
          <w:szCs w:val="24"/>
        </w:rPr>
        <w:t xml:space="preserve">Using the World Bank </w:t>
      </w:r>
      <w:r>
        <w:rPr>
          <w:rFonts w:ascii="Times New Roman" w:hAnsi="Times New Roman" w:cs="Times New Roman"/>
          <w:sz w:val="24"/>
          <w:szCs w:val="24"/>
        </w:rPr>
        <w:t>economic indicators</w:t>
      </w:r>
      <w:r w:rsidRPr="008E5DA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8E5DA3">
        <w:rPr>
          <w:rFonts w:ascii="Times New Roman" w:hAnsi="Times New Roman" w:cs="Times New Roman"/>
          <w:sz w:val="24"/>
          <w:szCs w:val="24"/>
        </w:rPr>
        <w:t>majority of th</w:t>
      </w:r>
      <w:r>
        <w:rPr>
          <w:rFonts w:ascii="Times New Roman" w:hAnsi="Times New Roman" w:cs="Times New Roman"/>
          <w:sz w:val="24"/>
          <w:szCs w:val="24"/>
        </w:rPr>
        <w:t>e countries in IORA</w:t>
      </w:r>
      <w:r w:rsidRPr="008E5DA3">
        <w:rPr>
          <w:rFonts w:ascii="Times New Roman" w:hAnsi="Times New Roman" w:cs="Times New Roman"/>
          <w:sz w:val="24"/>
          <w:szCs w:val="24"/>
        </w:rPr>
        <w:t xml:space="preserve"> </w:t>
      </w:r>
      <w:r>
        <w:rPr>
          <w:rFonts w:ascii="Times New Roman" w:hAnsi="Times New Roman" w:cs="Times New Roman"/>
          <w:sz w:val="24"/>
          <w:szCs w:val="24"/>
        </w:rPr>
        <w:t>belongs</w:t>
      </w:r>
      <w:r w:rsidRPr="008E5DA3">
        <w:rPr>
          <w:rFonts w:ascii="Times New Roman" w:hAnsi="Times New Roman" w:cs="Times New Roman"/>
          <w:sz w:val="24"/>
          <w:szCs w:val="24"/>
        </w:rPr>
        <w:t xml:space="preserve"> to </w:t>
      </w:r>
      <w:r w:rsidRPr="008E5DA3">
        <w:rPr>
          <w:rFonts w:ascii="Times New Roman" w:hAnsi="Times New Roman" w:cs="Times New Roman"/>
          <w:color w:val="000000"/>
          <w:sz w:val="24"/>
          <w:szCs w:val="24"/>
          <w:shd w:val="clear" w:color="auto" w:fill="FFFFFF"/>
        </w:rPr>
        <w:t>developing</w:t>
      </w:r>
      <w:r>
        <w:rPr>
          <w:rFonts w:ascii="Times New Roman" w:hAnsi="Times New Roman" w:cs="Times New Roman"/>
          <w:color w:val="000000"/>
          <w:sz w:val="24"/>
          <w:szCs w:val="24"/>
          <w:shd w:val="clear" w:color="auto" w:fill="FFFFFF"/>
        </w:rPr>
        <w:t xml:space="preserve"> and less developing</w:t>
      </w:r>
      <w:r w:rsidRPr="008E5DA3">
        <w:rPr>
          <w:rFonts w:ascii="Times New Roman" w:hAnsi="Times New Roman" w:cs="Times New Roman"/>
          <w:color w:val="000000"/>
          <w:sz w:val="24"/>
          <w:szCs w:val="24"/>
          <w:shd w:val="clear" w:color="auto" w:fill="FFFFFF"/>
        </w:rPr>
        <w:t xml:space="preserve"> countries group</w:t>
      </w:r>
      <w:r>
        <w:rPr>
          <w:rFonts w:ascii="Times New Roman" w:hAnsi="Times New Roman" w:cs="Times New Roman"/>
          <w:color w:val="000000"/>
          <w:sz w:val="24"/>
          <w:szCs w:val="24"/>
          <w:shd w:val="clear" w:color="auto" w:fill="FFFFFF"/>
        </w:rPr>
        <w:t>s.</w:t>
      </w:r>
      <w:r w:rsidRPr="008E5DA3">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Among the </w:t>
      </w:r>
      <w:r>
        <w:rPr>
          <w:rFonts w:ascii="Times New Roman" w:hAnsi="Times New Roman" w:cs="Times New Roman"/>
          <w:sz w:val="24"/>
          <w:szCs w:val="24"/>
        </w:rPr>
        <w:t>IORA</w:t>
      </w:r>
      <w:r>
        <w:rPr>
          <w:rFonts w:ascii="Times New Roman" w:hAnsi="Times New Roman" w:cs="Times New Roman"/>
          <w:color w:val="000000"/>
          <w:sz w:val="24"/>
          <w:szCs w:val="24"/>
          <w:shd w:val="clear" w:color="auto" w:fill="FFFFFF"/>
        </w:rPr>
        <w:t xml:space="preserve"> countries,</w:t>
      </w:r>
      <w:r w:rsidRPr="008E5DA3">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only </w:t>
      </w:r>
      <w:r w:rsidRPr="00136F1E">
        <w:rPr>
          <w:rFonts w:ascii="Times New Roman" w:hAnsi="Times New Roman" w:cs="Times New Roman"/>
          <w:sz w:val="24"/>
          <w:szCs w:val="24"/>
        </w:rPr>
        <w:t xml:space="preserve">Australia, Singapore and United Arab </w:t>
      </w:r>
      <w:r>
        <w:rPr>
          <w:rFonts w:ascii="Times New Roman" w:hAnsi="Times New Roman" w:cs="Times New Roman"/>
          <w:sz w:val="24"/>
          <w:szCs w:val="24"/>
        </w:rPr>
        <w:t>Emirates (UAE)</w:t>
      </w:r>
      <w:r w:rsidRPr="00136F1E">
        <w:rPr>
          <w:rFonts w:ascii="Times New Roman" w:hAnsi="Times New Roman" w:cs="Times New Roman"/>
          <w:sz w:val="24"/>
          <w:szCs w:val="24"/>
        </w:rPr>
        <w:t xml:space="preserve"> are in the t</w:t>
      </w:r>
      <w:r>
        <w:rPr>
          <w:rFonts w:ascii="Times New Roman" w:hAnsi="Times New Roman" w:cs="Times New Roman"/>
          <w:sz w:val="24"/>
          <w:szCs w:val="24"/>
        </w:rPr>
        <w:t>op 3</w:t>
      </w:r>
      <w:r w:rsidRPr="00136F1E">
        <w:rPr>
          <w:rFonts w:ascii="Times New Roman" w:hAnsi="Times New Roman" w:cs="Times New Roman"/>
          <w:sz w:val="24"/>
          <w:szCs w:val="24"/>
        </w:rPr>
        <w:t>0 nations based on a per capita gross national income</w:t>
      </w:r>
      <w:r w:rsidRPr="002A2D98">
        <w:rPr>
          <w:rStyle w:val="FootnoteReference"/>
        </w:rPr>
        <w:footnoteReference w:id="1"/>
      </w:r>
      <w:r w:rsidRPr="00F75783">
        <w:rPr>
          <w:rFonts w:ascii="Times New Roman" w:hAnsi="Times New Roman" w:cs="Times New Roman"/>
          <w:sz w:val="24"/>
          <w:szCs w:val="24"/>
        </w:rPr>
        <w:t>.</w:t>
      </w:r>
      <w:r w:rsidRPr="0054027A">
        <w:rPr>
          <w:rFonts w:ascii="Times New Roman" w:hAnsi="Times New Roman" w:cs="Times New Roman"/>
          <w:sz w:val="24"/>
          <w:szCs w:val="24"/>
          <w:shd w:val="clear" w:color="auto" w:fill="FFFFFF"/>
        </w:rPr>
        <w:t xml:space="preserve"> </w:t>
      </w:r>
      <w:r w:rsidRPr="008E5DA3">
        <w:rPr>
          <w:rFonts w:ascii="Times New Roman" w:hAnsi="Times New Roman" w:cs="Times New Roman"/>
          <w:sz w:val="24"/>
          <w:szCs w:val="24"/>
          <w:shd w:val="clear" w:color="auto" w:fill="FFFFFF"/>
        </w:rPr>
        <w:t xml:space="preserve">IORA region has </w:t>
      </w:r>
      <w:r w:rsidR="007012B5">
        <w:rPr>
          <w:rFonts w:ascii="Times New Roman" w:hAnsi="Times New Roman" w:cs="Times New Roman"/>
          <w:sz w:val="24"/>
          <w:szCs w:val="24"/>
          <w:shd w:val="clear" w:color="auto" w:fill="FFFFFF"/>
        </w:rPr>
        <w:t xml:space="preserve">a population of </w:t>
      </w:r>
      <w:r w:rsidRPr="008E5DA3">
        <w:rPr>
          <w:rFonts w:ascii="Times New Roman" w:hAnsi="Times New Roman" w:cs="Times New Roman"/>
          <w:sz w:val="24"/>
          <w:szCs w:val="24"/>
          <w:shd w:val="clear" w:color="auto" w:fill="FFFFFF"/>
        </w:rPr>
        <w:t xml:space="preserve">about 2.3 billion, around 30 percent of the world population </w:t>
      </w:r>
      <w:r w:rsidRPr="008E5DA3">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URL":"http://databank.worldbank.org/data/reports.aspx?Code=SP.POP.TOTL&amp;id=1ff4a498&amp;report_name=Popular-Indicators&amp;populartype=series&amp;ispopular=y#","accessed":{"date-parts":[["2018","8","2"]]},"author":[{"dropping-particle":"","family":"World Bank","given":"","non-dropping-particle":"","parse-names":false,"suffix":""}],"id":"ITEM-1","issued":{"date-parts":[["2016"]]},"title":"Indian Ocean Rim Association","type":"webpage"},"uris":["http://www.mendeley.com/documents/?uuid=4d03ada3-7ce3-4cb9-b5f2-691a8e45b710"]},{"id":"ITEM-2","itemData":{"author":[{"dropping-particle":"","family":"Wippel","given":"Steffen","non-dropping-particle":"","parse-names":false,"suffix":""}],"id":"ITEM-2","issue":"May","issued":{"date-parts":[["2015"]]},"page":"1-7","title":"Indian Ocean Rim Cooperation : An Omani Perspective","type":"article-newspaper","volume":"2014"},"uris":["http://www.mendeley.com/documents/?uuid=bbe3311c-e9ef-4570-9e87-7410125c0167"]}],"mendeley":{"formattedCitation":"(Wippel, 2015; World Bank, 2016)","plainTextFormattedCitation":"(Wippel, 2015; World Bank, 2016)","previouslyFormattedCitation":"(Wippel, 2015; World Bank, 2016)"},"properties":{"noteIndex":0},"schema":"https://github.com/citation-style-language/schema/raw/master/csl-citation.json"}</w:instrText>
      </w:r>
      <w:r w:rsidRPr="008E5DA3">
        <w:rPr>
          <w:rFonts w:ascii="Times New Roman" w:hAnsi="Times New Roman" w:cs="Times New Roman"/>
          <w:sz w:val="24"/>
          <w:szCs w:val="24"/>
          <w:shd w:val="clear" w:color="auto" w:fill="FFFFFF"/>
        </w:rPr>
        <w:fldChar w:fldCharType="separate"/>
      </w:r>
      <w:r w:rsidR="00EE4776" w:rsidRPr="00EE4776">
        <w:rPr>
          <w:rFonts w:ascii="Times New Roman" w:hAnsi="Times New Roman" w:cs="Times New Roman"/>
          <w:sz w:val="24"/>
          <w:szCs w:val="24"/>
          <w:shd w:val="clear" w:color="auto" w:fill="FFFFFF"/>
        </w:rPr>
        <w:t xml:space="preserve">(Wippel, </w:t>
      </w:r>
      <w:r w:rsidR="00EE4776" w:rsidRPr="00EE4776">
        <w:rPr>
          <w:rFonts w:ascii="Times New Roman" w:hAnsi="Times New Roman" w:cs="Times New Roman"/>
          <w:sz w:val="24"/>
          <w:szCs w:val="24"/>
          <w:shd w:val="clear" w:color="auto" w:fill="FFFFFF"/>
        </w:rPr>
        <w:lastRenderedPageBreak/>
        <w:t>2015; World Bank, 2016)</w:t>
      </w:r>
      <w:r w:rsidRPr="008E5DA3">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The</w:t>
      </w:r>
      <w:r w:rsidRPr="008E5DA3">
        <w:rPr>
          <w:rFonts w:ascii="Times New Roman" w:hAnsi="Times New Roman" w:cs="Times New Roman"/>
          <w:sz w:val="24"/>
          <w:szCs w:val="24"/>
          <w:shd w:val="clear" w:color="auto" w:fill="FFFFFF"/>
        </w:rPr>
        <w:t xml:space="preserve"> population size becomes more significant if the seven dialogue partners (IORA+7)</w:t>
      </w:r>
      <w:r w:rsidRPr="002A2D98">
        <w:rPr>
          <w:rStyle w:val="FootnoteReference"/>
        </w:rPr>
        <w:footnoteReference w:id="2"/>
      </w:r>
      <w:r w:rsidRPr="008E5DA3">
        <w:rPr>
          <w:rFonts w:ascii="Times New Roman" w:hAnsi="Times New Roman" w:cs="Times New Roman"/>
          <w:sz w:val="24"/>
          <w:szCs w:val="24"/>
          <w:shd w:val="clear" w:color="auto" w:fill="FFFFFF"/>
        </w:rPr>
        <w:t xml:space="preserve"> are considered</w:t>
      </w:r>
      <w:r>
        <w:rPr>
          <w:rFonts w:ascii="Times New Roman" w:hAnsi="Times New Roman" w:cs="Times New Roman"/>
          <w:sz w:val="24"/>
          <w:szCs w:val="24"/>
          <w:shd w:val="clear" w:color="auto" w:fill="FFFFFF"/>
        </w:rPr>
        <w:t xml:space="preserve"> and </w:t>
      </w:r>
      <w:r w:rsidR="006112EA">
        <w:rPr>
          <w:rFonts w:ascii="Times New Roman" w:hAnsi="Times New Roman" w:cs="Times New Roman"/>
          <w:sz w:val="24"/>
          <w:szCs w:val="24"/>
          <w:shd w:val="clear" w:color="auto" w:fill="FFFFFF"/>
        </w:rPr>
        <w:t xml:space="preserve">in </w:t>
      </w:r>
      <w:r>
        <w:rPr>
          <w:rFonts w:ascii="Times New Roman" w:hAnsi="Times New Roman" w:cs="Times New Roman"/>
          <w:sz w:val="24"/>
          <w:szCs w:val="24"/>
          <w:shd w:val="clear" w:color="auto" w:fill="FFFFFF"/>
        </w:rPr>
        <w:t xml:space="preserve">this positions </w:t>
      </w:r>
      <w:r w:rsidRPr="008E5DA3">
        <w:rPr>
          <w:rFonts w:ascii="Times New Roman" w:hAnsi="Times New Roman" w:cs="Times New Roman"/>
          <w:sz w:val="24"/>
          <w:szCs w:val="24"/>
          <w:shd w:val="clear" w:color="auto" w:fill="FFFFFF"/>
        </w:rPr>
        <w:t xml:space="preserve">the region not only </w:t>
      </w:r>
      <w:r w:rsidR="00182E08">
        <w:rPr>
          <w:rFonts w:ascii="Times New Roman" w:hAnsi="Times New Roman" w:cs="Times New Roman"/>
          <w:sz w:val="24"/>
          <w:szCs w:val="24"/>
          <w:shd w:val="clear" w:color="auto" w:fill="FFFFFF"/>
        </w:rPr>
        <w:t>h</w:t>
      </w:r>
      <w:r w:rsidRPr="008E5DA3">
        <w:rPr>
          <w:rFonts w:ascii="Times New Roman" w:hAnsi="Times New Roman" w:cs="Times New Roman"/>
          <w:sz w:val="24"/>
          <w:szCs w:val="24"/>
          <w:shd w:val="clear" w:color="auto" w:fill="FFFFFF"/>
        </w:rPr>
        <w:t>a</w:t>
      </w:r>
      <w:r>
        <w:rPr>
          <w:rFonts w:ascii="Times New Roman" w:hAnsi="Times New Roman" w:cs="Times New Roman"/>
          <w:sz w:val="24"/>
          <w:szCs w:val="24"/>
          <w:shd w:val="clear" w:color="auto" w:fill="FFFFFF"/>
        </w:rPr>
        <w:t>s a</w:t>
      </w:r>
      <w:r w:rsidRPr="008E5DA3">
        <w:rPr>
          <w:rFonts w:ascii="Times New Roman" w:hAnsi="Times New Roman" w:cs="Times New Roman"/>
          <w:sz w:val="24"/>
          <w:szCs w:val="24"/>
          <w:shd w:val="clear" w:color="auto" w:fill="FFFFFF"/>
        </w:rPr>
        <w:t xml:space="preserve"> huge market base but also a huge labor endowment to stimulate trade within the region and globally. </w:t>
      </w:r>
      <w:r>
        <w:rPr>
          <w:rFonts w:ascii="Times New Roman" w:hAnsi="Times New Roman" w:cs="Times New Roman"/>
          <w:sz w:val="24"/>
          <w:szCs w:val="24"/>
        </w:rPr>
        <w:t>The association started with seven members</w:t>
      </w:r>
      <w:r w:rsidRPr="002A2D98">
        <w:rPr>
          <w:rStyle w:val="FootnoteReference"/>
        </w:rPr>
        <w:footnoteReference w:id="3"/>
      </w:r>
      <w:r w:rsidRPr="00DF04BC">
        <w:rPr>
          <w:rFonts w:ascii="Times New Roman" w:hAnsi="Times New Roman" w:cs="Times New Roman"/>
          <w:sz w:val="24"/>
          <w:szCs w:val="24"/>
        </w:rPr>
        <w:t xml:space="preserve"> </w:t>
      </w:r>
      <w:r w:rsidR="009015FF">
        <w:rPr>
          <w:rFonts w:ascii="Times New Roman" w:hAnsi="Times New Roman" w:cs="Times New Roman"/>
          <w:sz w:val="24"/>
          <w:szCs w:val="24"/>
        </w:rPr>
        <w:t xml:space="preserve">in 1995, </w:t>
      </w:r>
      <w:r>
        <w:rPr>
          <w:rFonts w:ascii="Times New Roman" w:hAnsi="Times New Roman" w:cs="Times New Roman"/>
          <w:sz w:val="24"/>
          <w:szCs w:val="24"/>
        </w:rPr>
        <w:t>metamorphosed</w:t>
      </w:r>
      <w:r w:rsidR="009015FF">
        <w:rPr>
          <w:rFonts w:ascii="Times New Roman" w:hAnsi="Times New Roman" w:cs="Times New Roman"/>
          <w:sz w:val="24"/>
          <w:szCs w:val="24"/>
        </w:rPr>
        <w:t xml:space="preserve"> </w:t>
      </w:r>
      <w:r>
        <w:rPr>
          <w:rFonts w:ascii="Times New Roman" w:hAnsi="Times New Roman" w:cs="Times New Roman"/>
          <w:sz w:val="24"/>
          <w:szCs w:val="24"/>
        </w:rPr>
        <w:t>into</w:t>
      </w:r>
      <w:r w:rsidR="009015FF">
        <w:rPr>
          <w:rFonts w:ascii="Times New Roman" w:hAnsi="Times New Roman" w:cs="Times New Roman"/>
          <w:sz w:val="24"/>
          <w:szCs w:val="24"/>
        </w:rPr>
        <w:t xml:space="preserve"> 14 members</w:t>
      </w:r>
      <w:r w:rsidR="009015FF" w:rsidRPr="002A2D98">
        <w:rPr>
          <w:rStyle w:val="FootnoteReference"/>
        </w:rPr>
        <w:footnoteReference w:id="4"/>
      </w:r>
      <w:r w:rsidR="009015FF">
        <w:rPr>
          <w:rFonts w:ascii="Times New Roman" w:hAnsi="Times New Roman" w:cs="Times New Roman"/>
          <w:sz w:val="24"/>
          <w:szCs w:val="24"/>
        </w:rPr>
        <w:t xml:space="preserve"> in 1997 and presently known as IORA</w:t>
      </w:r>
      <w:r w:rsidR="009015FF">
        <w:rPr>
          <w:rStyle w:val="FootnoteReference"/>
          <w:rFonts w:ascii="Times New Roman" w:hAnsi="Times New Roman" w:cs="Times New Roman"/>
          <w:sz w:val="24"/>
          <w:szCs w:val="24"/>
        </w:rPr>
        <w:footnoteReference w:id="5"/>
      </w:r>
      <w:r w:rsidR="009015FF">
        <w:rPr>
          <w:rFonts w:ascii="Times New Roman" w:hAnsi="Times New Roman" w:cs="Times New Roman"/>
          <w:sz w:val="24"/>
          <w:szCs w:val="24"/>
        </w:rPr>
        <w:t xml:space="preserve"> comprising of 21 member states</w:t>
      </w:r>
      <w:r w:rsidR="009015FF" w:rsidRPr="002A2D98">
        <w:rPr>
          <w:rStyle w:val="FootnoteReference"/>
        </w:rPr>
        <w:footnoteReference w:id="6"/>
      </w:r>
      <w:r w:rsidR="009015FF">
        <w:rPr>
          <w:rFonts w:ascii="Times New Roman" w:hAnsi="Times New Roman" w:cs="Times New Roman"/>
          <w:sz w:val="24"/>
          <w:szCs w:val="24"/>
        </w:rPr>
        <w:t>.</w:t>
      </w:r>
      <w:r>
        <w:rPr>
          <w:rFonts w:ascii="Times New Roman" w:hAnsi="Times New Roman" w:cs="Times New Roman"/>
          <w:sz w:val="24"/>
          <w:szCs w:val="24"/>
        </w:rPr>
        <w:t xml:space="preserve"> IORA </w:t>
      </w:r>
      <w:r w:rsidR="009015FF">
        <w:rPr>
          <w:rFonts w:ascii="Times New Roman" w:hAnsi="Times New Roman" w:cs="Times New Roman"/>
          <w:sz w:val="24"/>
          <w:szCs w:val="24"/>
        </w:rPr>
        <w:t xml:space="preserve">comprises of </w:t>
      </w:r>
      <w:r>
        <w:rPr>
          <w:rFonts w:ascii="Times New Roman" w:hAnsi="Times New Roman" w:cs="Times New Roman"/>
          <w:sz w:val="24"/>
          <w:szCs w:val="24"/>
        </w:rPr>
        <w:t xml:space="preserve">7 dialogue partners and an observer group called </w:t>
      </w:r>
      <w:r w:rsidRPr="005C2D43">
        <w:rPr>
          <w:rFonts w:ascii="Times New Roman" w:hAnsi="Times New Roman" w:cs="Times New Roman"/>
          <w:sz w:val="24"/>
          <w:szCs w:val="24"/>
        </w:rPr>
        <w:t>Indian Ocean Research Group (IORG)</w:t>
      </w:r>
      <w:r>
        <w:rPr>
          <w:rFonts w:ascii="Times New Roman" w:hAnsi="Times New Roman" w:cs="Times New Roman"/>
          <w:sz w:val="24"/>
          <w:szCs w:val="24"/>
        </w:rPr>
        <w:t xml:space="preserve">. The association upholds the principle of open regionalism framework where decisions are taken through consensus </w:t>
      </w:r>
      <w:r w:rsidRPr="000A2467">
        <w:rPr>
          <w:rFonts w:ascii="Times New Roman" w:hAnsi="Times New Roman" w:cs="Times New Roman"/>
          <w:sz w:val="24"/>
          <w:szCs w:val="24"/>
        </w:rPr>
        <w:t>and</w:t>
      </w:r>
      <w:r>
        <w:rPr>
          <w:rFonts w:ascii="Times New Roman" w:hAnsi="Times New Roman" w:cs="Times New Roman"/>
          <w:sz w:val="24"/>
          <w:szCs w:val="24"/>
        </w:rPr>
        <w:t xml:space="preserve"> non-</w:t>
      </w:r>
      <w:r w:rsidRPr="000A2467">
        <w:rPr>
          <w:rFonts w:ascii="Times New Roman" w:hAnsi="Times New Roman" w:cs="Times New Roman"/>
          <w:sz w:val="24"/>
          <w:szCs w:val="24"/>
        </w:rPr>
        <w:t>rigid institutional structure</w:t>
      </w:r>
      <w:r>
        <w:rPr>
          <w:rFonts w:ascii="Times New Roman" w:hAnsi="Times New Roman" w:cs="Times New Roman"/>
          <w:sz w:val="24"/>
          <w:szCs w:val="24"/>
        </w:rPr>
        <w:t>.</w:t>
      </w:r>
      <w:r w:rsidRPr="000A2467">
        <w:rPr>
          <w:rFonts w:ascii="Times New Roman" w:hAnsi="Times New Roman" w:cs="Times New Roman"/>
          <w:sz w:val="24"/>
          <w:szCs w:val="24"/>
        </w:rPr>
        <w:t xml:space="preserve"> </w:t>
      </w:r>
      <w:r>
        <w:rPr>
          <w:rFonts w:ascii="Times New Roman" w:hAnsi="Times New Roman" w:cs="Times New Roman"/>
          <w:sz w:val="24"/>
          <w:szCs w:val="24"/>
        </w:rPr>
        <w:t>Various Member states are already implementing various tangible projects in order to strengthen the association.</w:t>
      </w:r>
      <w:r w:rsidRPr="00902EFF">
        <w:rPr>
          <w:rFonts w:ascii="Times New Roman" w:hAnsi="Times New Roman" w:cs="Times New Roman"/>
          <w:color w:val="000000" w:themeColor="text1"/>
          <w:sz w:val="24"/>
          <w:szCs w:val="24"/>
        </w:rPr>
        <w:t xml:space="preserve"> Oman </w:t>
      </w:r>
      <w:r>
        <w:rPr>
          <w:rFonts w:ascii="Times New Roman" w:hAnsi="Times New Roman" w:cs="Times New Roman"/>
          <w:color w:val="000000" w:themeColor="text1"/>
          <w:sz w:val="24"/>
          <w:szCs w:val="24"/>
        </w:rPr>
        <w:t xml:space="preserve">has always been regarded as an enthusiastic founding member that has </w:t>
      </w:r>
      <w:r w:rsidRPr="00E93BE4">
        <w:rPr>
          <w:rFonts w:ascii="Times New Roman" w:hAnsi="Times New Roman" w:cs="Times New Roman"/>
          <w:color w:val="000000" w:themeColor="text1"/>
          <w:sz w:val="24"/>
          <w:szCs w:val="24"/>
        </w:rPr>
        <w:t xml:space="preserve">pushed heavily </w:t>
      </w:r>
      <w:r>
        <w:rPr>
          <w:rFonts w:ascii="Times New Roman" w:hAnsi="Times New Roman" w:cs="Times New Roman"/>
          <w:color w:val="000000" w:themeColor="text1"/>
          <w:sz w:val="24"/>
          <w:szCs w:val="24"/>
        </w:rPr>
        <w:t xml:space="preserve">in </w:t>
      </w:r>
      <w:r w:rsidRPr="00E93BE4">
        <w:rPr>
          <w:rFonts w:ascii="Times New Roman" w:hAnsi="Times New Roman" w:cs="Times New Roman"/>
          <w:color w:val="000000" w:themeColor="text1"/>
          <w:sz w:val="24"/>
          <w:szCs w:val="24"/>
        </w:rPr>
        <w:t>enhancing cooperation and trade in th</w:t>
      </w:r>
      <w:r>
        <w:rPr>
          <w:rFonts w:ascii="Times New Roman" w:hAnsi="Times New Roman" w:cs="Times New Roman"/>
          <w:color w:val="000000" w:themeColor="text1"/>
          <w:sz w:val="24"/>
          <w:szCs w:val="24"/>
        </w:rPr>
        <w:t>e</w:t>
      </w:r>
      <w:r w:rsidRPr="00E93BE4">
        <w:rPr>
          <w:rFonts w:ascii="Times New Roman" w:hAnsi="Times New Roman" w:cs="Times New Roman"/>
          <w:color w:val="000000" w:themeColor="text1"/>
          <w:sz w:val="24"/>
          <w:szCs w:val="24"/>
        </w:rPr>
        <w:t xml:space="preserve"> region</w:t>
      </w:r>
      <w:r>
        <w:rPr>
          <w:rFonts w:ascii="Times New Roman" w:hAnsi="Times New Roman" w:cs="Times New Roman"/>
          <w:sz w:val="24"/>
          <w:szCs w:val="24"/>
        </w:rPr>
        <w:t>.</w:t>
      </w:r>
      <w:r>
        <w:rPr>
          <w:rFonts w:ascii="Times New Roman" w:hAnsi="Times New Roman" w:cs="Times New Roman"/>
          <w:color w:val="000000" w:themeColor="text1"/>
          <w:sz w:val="24"/>
          <w:szCs w:val="24"/>
        </w:rPr>
        <w:t xml:space="preserve"> Oman has contributed to</w:t>
      </w:r>
      <w:r w:rsidRPr="00902EF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Pr="00902EFF">
        <w:rPr>
          <w:rFonts w:ascii="Times New Roman" w:hAnsi="Times New Roman" w:cs="Times New Roman"/>
          <w:color w:val="000000" w:themeColor="text1"/>
          <w:sz w:val="24"/>
          <w:szCs w:val="24"/>
        </w:rPr>
        <w:t>establishme</w:t>
      </w:r>
      <w:r>
        <w:rPr>
          <w:rFonts w:ascii="Times New Roman" w:hAnsi="Times New Roman" w:cs="Times New Roman"/>
          <w:color w:val="000000" w:themeColor="text1"/>
          <w:sz w:val="24"/>
          <w:szCs w:val="24"/>
        </w:rPr>
        <w:t>nt of Fisheries Support Unit located in Oman and has provided a large financial share</w:t>
      </w:r>
      <w:r w:rsidRPr="00902EFF">
        <w:rPr>
          <w:rFonts w:ascii="Times New Roman" w:hAnsi="Times New Roman" w:cs="Times New Roman"/>
          <w:color w:val="000000" w:themeColor="text1"/>
          <w:sz w:val="24"/>
          <w:szCs w:val="24"/>
        </w:rPr>
        <w:t xml:space="preserve"> to </w:t>
      </w:r>
      <w:r>
        <w:rPr>
          <w:rFonts w:ascii="Times New Roman" w:hAnsi="Times New Roman" w:cs="Times New Roman"/>
          <w:color w:val="000000" w:themeColor="text1"/>
          <w:sz w:val="24"/>
          <w:szCs w:val="24"/>
        </w:rPr>
        <w:t xml:space="preserve">the </w:t>
      </w:r>
      <w:r w:rsidRPr="00902EFF">
        <w:rPr>
          <w:rFonts w:ascii="Times New Roman" w:hAnsi="Times New Roman" w:cs="Times New Roman"/>
          <w:color w:val="000000" w:themeColor="text1"/>
          <w:sz w:val="24"/>
          <w:szCs w:val="24"/>
        </w:rPr>
        <w:t>association trust fund</w:t>
      </w:r>
      <w:r>
        <w:rPr>
          <w:rFonts w:ascii="Times New Roman" w:hAnsi="Times New Roman" w:cs="Times New Roman"/>
          <w:color w:val="000000" w:themeColor="text1"/>
          <w:sz w:val="24"/>
          <w:szCs w:val="24"/>
        </w:rPr>
        <w:t>. It is also home of the</w:t>
      </w:r>
      <w:r w:rsidRPr="00902EFF">
        <w:rPr>
          <w:rFonts w:ascii="Times New Roman" w:hAnsi="Times New Roman" w:cs="Times New Roman"/>
          <w:color w:val="000000" w:themeColor="text1"/>
          <w:sz w:val="24"/>
          <w:szCs w:val="24"/>
        </w:rPr>
        <w:t xml:space="preserve"> proposed Maritime Tr</w:t>
      </w:r>
      <w:r>
        <w:rPr>
          <w:rFonts w:ascii="Times New Roman" w:hAnsi="Times New Roman" w:cs="Times New Roman"/>
          <w:color w:val="000000" w:themeColor="text1"/>
          <w:sz w:val="24"/>
          <w:szCs w:val="24"/>
        </w:rPr>
        <w:t xml:space="preserve">ansport Council in Muscat </w:t>
      </w:r>
      <w:r>
        <w:rPr>
          <w:rFonts w:ascii="Times New Roman" w:hAnsi="Times New Roman" w:cs="Times New Roman"/>
          <w:color w:val="000000" w:themeColor="text1"/>
          <w:sz w:val="24"/>
          <w:szCs w:val="24"/>
        </w:rPr>
        <w:fldChar w:fldCharType="begin" w:fldLock="1"/>
      </w:r>
      <w:r w:rsidR="00EE4776">
        <w:rPr>
          <w:rFonts w:ascii="Times New Roman" w:hAnsi="Times New Roman" w:cs="Times New Roman"/>
          <w:color w:val="000000" w:themeColor="text1"/>
          <w:sz w:val="24"/>
          <w:szCs w:val="24"/>
        </w:rPr>
        <w:instrText>ADDIN CSL_CITATION {"citationItems":[{"id":"ITEM-1","itemData":{"DOI":"10.1007/978-94-007-6821-5_10","author":[{"dropping-particle":"","family":"Wippel","given":"Steffen","non-dropping-particle":"","parse-names":false,"suffix":""}],"container-title":"Regionalizing Oman","id":"ITEM-1","issued":{"date-parts":[["2013"]]},"page":"159-183","publisher":"Springer Netherlands","publisher-place":"Dordrecht","title":"Oman and the Indian Ocean Rim – Economic Integration Across Conventional Meta-Regions","type":"chapter"},"uris":["http://www.mendeley.com/documents/?uuid=fa0069d8-af42-32af-9974-e44908ea1a42"]}],"mendeley":{"formattedCitation":"(Wippel, 2013)","plainTextFormattedCitation":"(Wippel, 2013)","previouslyFormattedCitation":"(Wippel, 2013)"},"properties":{"noteIndex":0},"schema":"https://github.com/citation-style-language/schema/raw/master/csl-citation.json"}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1F1A7E">
        <w:rPr>
          <w:rFonts w:ascii="Times New Roman" w:hAnsi="Times New Roman" w:cs="Times New Roman"/>
          <w:color w:val="000000" w:themeColor="text1"/>
          <w:sz w:val="24"/>
          <w:szCs w:val="24"/>
        </w:rPr>
        <w:t>(Wippel, 2013)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
    <w:p w:rsidR="00351C3F" w:rsidRPr="008A24A2" w:rsidRDefault="00661C8B" w:rsidP="008A24A2">
      <w:pPr>
        <w:pStyle w:val="Heading2"/>
        <w:rPr>
          <w:rFonts w:asciiTheme="majorBidi" w:hAnsiTheme="majorBidi"/>
          <w:b/>
          <w:bCs/>
          <w:i/>
          <w:iCs/>
          <w:sz w:val="24"/>
          <w:szCs w:val="24"/>
        </w:rPr>
      </w:pPr>
      <w:bookmarkStart w:id="2" w:name="_Toc516749390"/>
      <w:r w:rsidRPr="00843058">
        <w:rPr>
          <w:rFonts w:asciiTheme="majorBidi" w:hAnsiTheme="majorBidi"/>
          <w:b/>
          <w:bCs/>
          <w:i/>
          <w:iCs/>
          <w:sz w:val="24"/>
          <w:szCs w:val="24"/>
        </w:rPr>
        <w:t xml:space="preserve">III </w:t>
      </w:r>
      <w:r w:rsidRPr="00843058">
        <w:rPr>
          <w:rFonts w:asciiTheme="majorBidi" w:hAnsiTheme="majorBidi"/>
          <w:b/>
          <w:bCs/>
          <w:i/>
          <w:iCs/>
          <w:sz w:val="24"/>
          <w:szCs w:val="24"/>
        </w:rPr>
        <w:tab/>
      </w:r>
      <w:r w:rsidR="0038602B" w:rsidRPr="00843058">
        <w:rPr>
          <w:rFonts w:asciiTheme="majorBidi" w:hAnsiTheme="majorBidi"/>
          <w:b/>
          <w:bCs/>
          <w:i/>
          <w:iCs/>
          <w:sz w:val="24"/>
          <w:szCs w:val="24"/>
        </w:rPr>
        <w:t>IORA Trade Structure</w:t>
      </w:r>
      <w:bookmarkEnd w:id="2"/>
      <w:r w:rsidR="0038602B" w:rsidRPr="00843058">
        <w:rPr>
          <w:rFonts w:asciiTheme="majorBidi" w:hAnsiTheme="majorBidi"/>
          <w:b/>
          <w:bCs/>
          <w:i/>
          <w:iCs/>
          <w:sz w:val="24"/>
          <w:szCs w:val="24"/>
        </w:rPr>
        <w:t xml:space="preserve"> </w:t>
      </w:r>
    </w:p>
    <w:p w:rsidR="0038602B" w:rsidRDefault="0038602B" w:rsidP="00350948">
      <w:pPr>
        <w:spacing w:after="0" w:line="360" w:lineRule="auto"/>
        <w:ind w:right="360"/>
        <w:jc w:val="both"/>
        <w:rPr>
          <w:rFonts w:ascii="Times New Roman" w:hAnsi="Times New Roman" w:cs="Times New Roman"/>
          <w:sz w:val="24"/>
          <w:szCs w:val="24"/>
          <w:shd w:val="clear" w:color="auto" w:fill="FFFFFF"/>
        </w:rPr>
      </w:pPr>
      <w:r>
        <w:rPr>
          <w:rFonts w:ascii="Times New Roman" w:hAnsi="Times New Roman" w:cs="Times New Roman"/>
          <w:sz w:val="24"/>
          <w:szCs w:val="24"/>
        </w:rPr>
        <w:t>The economies of IORA region is significantly impacted by f</w:t>
      </w:r>
      <w:r w:rsidRPr="00B97D82">
        <w:rPr>
          <w:rFonts w:ascii="Times New Roman" w:hAnsi="Times New Roman" w:cs="Times New Roman"/>
          <w:sz w:val="24"/>
          <w:szCs w:val="24"/>
        </w:rPr>
        <w:t>isheries, offshore oil and gas, tourism and maritime industries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{"citationItems":[{"id":"ITEM-1","itemData":{"DOI":"10.1080/19480881.2016.1138713","ISSN":"1948108X","abstract":"ABSTRACTThe Indian Ocean is a vital part of the economies, livelihoods and cultural identities of the States which border or lie within its boundaries. Fisheries, offshore oil and gas, tourism and maritime industries are already making a significant contribution to the economies of the Indian Ocean states. New opportunities are appearing in these established sectors and new emerging sectors which will require a cooperative approach to capture and exploit in a sustainable manner. The ocean does not recognise geopolitical boundaries and many of its ecosystems and much of its biodiversity are transboundary which can give rise to competitive exploitation. We propose that continued, coordinated and proactive growth of the blue economies within the Indian Ocean need to be built upon principles of:• sharing of skills, data and knowledge;• integrated regional scale planning between nations;• adoption of marine-specific policies;•  robust governance for industry and governments to work within and which the communi...","author":[{"dropping-particle":"","family":"Llewellyn","given":"Lyndon E.","non-dropping-particle":"","parse-names":false,"suffix":""},{"dropping-particle":"","family":"English","given":"Susan","non-dropping-particle":"","parse-names":false,"suffix":""},{"dropping-particle":"","family":"Barnwell","given":"Sharon","non-dropping-particle":"","parse-names":false,"suffix":""}],"container-title":"Journal of the Indian Ocean Region","id":"ITEM-1","issue":"1","issued":{"date-parts":[["2016"]]},"page":"52-66","publisher":"Taylor &amp; Francis","title":"A roadmap to a sustainable Indian Ocean blue economy","type":"article-journal","volume":"12"},"uris":["http://www.mendeley.com/documents/?uuid=fb3d2f0a-0f18-490c-84c3-e8dcee393eb5"]}],"mendeley":{"formattedCitation":"(Llewellyn et al., 2016)","plainTextFormattedCitation":"(Llewellyn et al., 2016)","previouslyFormattedCitation":"(Llewellyn et al., 2016)"},"properties":{"noteIndex":0},"schema":"https://github.com/citation-style-language/schema/raw/master/csl-citation.json"}</w:instrText>
      </w:r>
      <w:r>
        <w:rPr>
          <w:rFonts w:ascii="Times New Roman" w:hAnsi="Times New Roman" w:cs="Times New Roman"/>
          <w:sz w:val="24"/>
          <w:szCs w:val="24"/>
        </w:rPr>
        <w:fldChar w:fldCharType="separate"/>
      </w:r>
      <w:r w:rsidRPr="005B68E3">
        <w:rPr>
          <w:rFonts w:ascii="Times New Roman" w:hAnsi="Times New Roman" w:cs="Times New Roman"/>
          <w:sz w:val="24"/>
          <w:szCs w:val="24"/>
        </w:rPr>
        <w:t>(Llewellyn et al.,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8E5DA3">
        <w:rPr>
          <w:rFonts w:ascii="Times New Roman" w:hAnsi="Times New Roman" w:cs="Times New Roman"/>
          <w:sz w:val="24"/>
          <w:szCs w:val="24"/>
        </w:rPr>
        <w:t xml:space="preserve">The combined GDP of IORA Member States is estimated at around </w:t>
      </w:r>
      <w:r>
        <w:rPr>
          <w:rFonts w:ascii="Times New Roman" w:hAnsi="Times New Roman" w:cs="Times New Roman"/>
          <w:sz w:val="24"/>
          <w:szCs w:val="24"/>
        </w:rPr>
        <w:t xml:space="preserve">$9 trillion, making </w:t>
      </w:r>
      <w:r w:rsidRPr="00DE7247">
        <w:rPr>
          <w:rFonts w:ascii="Times New Roman" w:hAnsi="Times New Roman" w:cs="Times New Roman"/>
          <w:sz w:val="24"/>
          <w:szCs w:val="24"/>
        </w:rPr>
        <w:t xml:space="preserve">about </w:t>
      </w:r>
      <w:r>
        <w:rPr>
          <w:rFonts w:ascii="Times New Roman" w:hAnsi="Times New Roman" w:cs="Times New Roman"/>
          <w:sz w:val="24"/>
          <w:szCs w:val="24"/>
          <w:shd w:val="clear" w:color="auto" w:fill="FFFFFF"/>
        </w:rPr>
        <w:t xml:space="preserve">10 </w:t>
      </w:r>
      <w:r w:rsidRPr="00DE7247">
        <w:rPr>
          <w:rFonts w:ascii="Times New Roman" w:hAnsi="Times New Roman" w:cs="Times New Roman"/>
          <w:sz w:val="24"/>
          <w:szCs w:val="24"/>
          <w:shd w:val="clear" w:color="auto" w:fill="FFFFFF"/>
        </w:rPr>
        <w:t>% of world GDP</w:t>
      </w:r>
      <w:r>
        <w:rPr>
          <w:rFonts w:ascii="Times New Roman" w:hAnsi="Times New Roman" w:cs="Times New Roman"/>
          <w:sz w:val="24"/>
          <w:szCs w:val="24"/>
          <w:shd w:val="clear" w:color="auto" w:fill="FFFFFF"/>
        </w:rPr>
        <w:t xml:space="preserve"> in 2015 </w:t>
      </w:r>
      <w:r>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URL":"http://www.iora.net/en/priorities-focus-areas/trade-and-investment-facilitation","accessed":{"date-parts":[["2017","3","20"]]},"author":[{"dropping-particle":"","family":"IORA","given":"","non-dropping-particle":"","parse-names":false,"suffix":""}],"container-title":"IORA Priorities and Focus Areas","id":"ITEM-1","issued":{"date-parts":[["2016"]]},"title":"Trade &amp; Investment Facilitation","type":"webpage"},"uris":["http://www.mendeley.com/documents/?uuid=3a74b2fb-8cf0-488c-ac89-f6ecb4286267"]}],"mendeley":{"formattedCitation":"(IORA, 2016b)","plainTextFormattedCitation":"(IORA, 2016b)","previouslyFormattedCitation":"(IORA, 2016b)"},"properties":{"noteIndex":0},"schema":"https://github.com/citation-style-language/schema/raw/master/csl-citation.json"}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D560E8">
        <w:rPr>
          <w:rFonts w:ascii="Times New Roman" w:hAnsi="Times New Roman" w:cs="Times New Roman"/>
          <w:sz w:val="24"/>
          <w:szCs w:val="24"/>
          <w:shd w:val="clear" w:color="auto" w:fill="FFFFFF"/>
        </w:rPr>
        <w:t>(IORA, 2016b)</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r w:rsidRPr="004B445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Some c</w:t>
      </w:r>
      <w:r w:rsidRPr="004B4457">
        <w:rPr>
          <w:rFonts w:ascii="Times New Roman" w:hAnsi="Times New Roman" w:cs="Times New Roman"/>
          <w:sz w:val="24"/>
          <w:szCs w:val="24"/>
          <w:shd w:val="clear" w:color="auto" w:fill="FFFFFF"/>
        </w:rPr>
        <w:t>ountries like Indonesia, India, Bangladesh, Mozambique, Malaysi</w:t>
      </w:r>
      <w:r>
        <w:rPr>
          <w:rFonts w:ascii="Times New Roman" w:hAnsi="Times New Roman" w:cs="Times New Roman"/>
          <w:sz w:val="24"/>
          <w:szCs w:val="24"/>
          <w:shd w:val="clear" w:color="auto" w:fill="FFFFFF"/>
        </w:rPr>
        <w:t>a, Sri Lanka and Tanzania had</w:t>
      </w:r>
      <w:r w:rsidRPr="004B4457">
        <w:rPr>
          <w:rFonts w:ascii="Times New Roman" w:hAnsi="Times New Roman" w:cs="Times New Roman"/>
          <w:sz w:val="24"/>
          <w:szCs w:val="24"/>
          <w:shd w:val="clear" w:color="auto" w:fill="FFFFFF"/>
        </w:rPr>
        <w:t xml:space="preserve"> high growth rates </w:t>
      </w:r>
      <w:r>
        <w:rPr>
          <w:rFonts w:ascii="Times New Roman" w:hAnsi="Times New Roman" w:cs="Times New Roman"/>
          <w:sz w:val="24"/>
          <w:szCs w:val="24"/>
          <w:shd w:val="clear" w:color="auto" w:fill="FFFFFF"/>
        </w:rPr>
        <w:t xml:space="preserve">of </w:t>
      </w:r>
      <w:r w:rsidRPr="004B4457">
        <w:rPr>
          <w:rFonts w:ascii="Times New Roman" w:hAnsi="Times New Roman" w:cs="Times New Roman"/>
          <w:sz w:val="24"/>
          <w:szCs w:val="24"/>
          <w:shd w:val="clear" w:color="auto" w:fill="FFFFFF"/>
        </w:rPr>
        <w:t>more than 5% during the period 2009-2015</w:t>
      </w:r>
      <w:r>
        <w:rPr>
          <w:rFonts w:ascii="Times New Roman" w:hAnsi="Times New Roman" w:cs="Times New Roman"/>
          <w:sz w:val="24"/>
          <w:szCs w:val="24"/>
          <w:shd w:val="clear" w:color="auto" w:fill="FFFFFF"/>
        </w:rPr>
        <w:t xml:space="preserve">.The real GDP is projected to grow at 5% between 2016-2020 if relevant measures are directed towards trade and investment facilitation </w:t>
      </w:r>
      <w:r>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{"citationItems":[{"id":"ITEM-1","itemData":{"author":[{"dropping-particle":"","family":"IORA","given":"","non-dropping-particle":"","parse-names":false,"suffix":""}],"id":"ITEM-1","issued":{"date-parts":[["2016"]]},"title":"The Sudy On Bilateral and Regional Trade and Investment Related Agreements and Dialogues Between Member States","type":"report"},"uris":["http://www.mendeley.com/documents/?uuid=d25d371d-a0bf-48f5-8072-b89600d23122"]}],"mendeley":{"formattedCitation":"(IORA, 2016a)","plainTextFormattedCitation":"(IORA, 2016a)","previouslyFormattedCitation":"(IORA, 2016a)"},"properties":{"noteIndex":0},"schema":"https://github.com/citation-style-language/schema/raw/master/csl-citation.json"}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D560E8">
        <w:rPr>
          <w:rFonts w:ascii="Times New Roman" w:hAnsi="Times New Roman" w:cs="Times New Roman"/>
          <w:sz w:val="24"/>
          <w:szCs w:val="24"/>
          <w:shd w:val="clear" w:color="auto" w:fill="FFFFFF"/>
        </w:rPr>
        <w:t>(IORA, 2016a)</w:t>
      </w:r>
      <w:r>
        <w:rPr>
          <w:rFonts w:ascii="Times New Roman" w:hAnsi="Times New Roman" w:cs="Times New Roman"/>
          <w:sz w:val="24"/>
          <w:szCs w:val="24"/>
          <w:shd w:val="clear" w:color="auto" w:fill="FFFFFF"/>
        </w:rPr>
        <w:fldChar w:fldCharType="end"/>
      </w:r>
      <w:r w:rsidR="00816C9D">
        <w:rPr>
          <w:rFonts w:ascii="Times New Roman" w:hAnsi="Times New Roman" w:cs="Times New Roman"/>
          <w:sz w:val="24"/>
          <w:szCs w:val="24"/>
          <w:shd w:val="clear" w:color="auto" w:fill="FFFFFF"/>
        </w:rPr>
        <w:t xml:space="preserve">. </w:t>
      </w:r>
      <w:r w:rsidRPr="00DE7247">
        <w:rPr>
          <w:rFonts w:ascii="Times New Roman" w:hAnsi="Times New Roman" w:cs="Times New Roman"/>
          <w:sz w:val="24"/>
          <w:szCs w:val="24"/>
          <w:shd w:val="clear" w:color="auto" w:fill="FFFFFF"/>
        </w:rPr>
        <w:t>The export of the region has been fluctuating however</w:t>
      </w:r>
      <w:r w:rsidR="008E328B">
        <w:rPr>
          <w:rFonts w:ascii="Times New Roman" w:hAnsi="Times New Roman" w:cs="Times New Roman"/>
          <w:sz w:val="24"/>
          <w:szCs w:val="24"/>
          <w:shd w:val="clear" w:color="auto" w:fill="FFFFFF"/>
        </w:rPr>
        <w:t xml:space="preserve"> growing </w:t>
      </w:r>
      <w:r w:rsidRPr="00DE7247">
        <w:rPr>
          <w:rFonts w:ascii="Times New Roman" w:hAnsi="Times New Roman" w:cs="Times New Roman"/>
          <w:sz w:val="24"/>
          <w:szCs w:val="24"/>
          <w:shd w:val="clear" w:color="auto" w:fill="FFFFFF"/>
        </w:rPr>
        <w:t xml:space="preserve"> at</w:t>
      </w:r>
      <w:r>
        <w:rPr>
          <w:rFonts w:ascii="Times New Roman" w:hAnsi="Times New Roman" w:cs="Times New Roman"/>
          <w:sz w:val="24"/>
          <w:szCs w:val="24"/>
          <w:shd w:val="clear" w:color="auto" w:fill="FFFFFF"/>
        </w:rPr>
        <w:t xml:space="preserve"> </w:t>
      </w:r>
      <w:r w:rsidR="008E328B">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compound average growth rate (</w:t>
      </w:r>
      <w:r w:rsidRPr="00DE7247">
        <w:rPr>
          <w:rFonts w:ascii="Times New Roman" w:hAnsi="Times New Roman" w:cs="Times New Roman"/>
          <w:sz w:val="24"/>
          <w:szCs w:val="24"/>
          <w:shd w:val="clear" w:color="auto" w:fill="FFFFFF"/>
        </w:rPr>
        <w:t>CAGR</w:t>
      </w:r>
      <w:r>
        <w:rPr>
          <w:rFonts w:ascii="Times New Roman" w:hAnsi="Times New Roman" w:cs="Times New Roman"/>
          <w:sz w:val="24"/>
          <w:szCs w:val="24"/>
          <w:shd w:val="clear" w:color="auto" w:fill="FFFFFF"/>
        </w:rPr>
        <w:t>)</w:t>
      </w:r>
      <w:r w:rsidRPr="00DE7247">
        <w:rPr>
          <w:rFonts w:ascii="Times New Roman" w:hAnsi="Times New Roman" w:cs="Times New Roman"/>
          <w:sz w:val="24"/>
          <w:szCs w:val="24"/>
          <w:shd w:val="clear" w:color="auto" w:fill="FFFFFF"/>
        </w:rPr>
        <w:t xml:space="preserve"> of 7% between 1990-2013 </w:t>
      </w:r>
      <w:r>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{"citationItems":[{"id":"ITEM-1","itemData":{"author":[{"dropping-particle":"","family":"IORA","given":"","non-dropping-particle":"","parse-names":false,"suffix":""}],"id":"ITEM-1","issued":{"date-parts":[["2016"]]},"title":"The Sudy On Bilateral and Regional Trade and Investment Related Agreements and Dialogues Between Member States","type":"report"},"uris":["http://www.mendeley.com/documents/?uuid=d25d371d-a0bf-48f5-8072-b89600d23122"]}],"mendeley":{"formattedCitation":"(IORA, 2016a)","plainTextFormattedCitation":"(IORA, 2016a)","previouslyFormattedCitation":"(IORA, 2016a)"},"properties":{"noteIndex":0},"schema":"https://github.com/citation-style-language/schema/raw/master/csl-citation.json"}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D560E8">
        <w:rPr>
          <w:rFonts w:ascii="Times New Roman" w:hAnsi="Times New Roman" w:cs="Times New Roman"/>
          <w:sz w:val="24"/>
          <w:szCs w:val="24"/>
          <w:shd w:val="clear" w:color="auto" w:fill="FFFFFF"/>
        </w:rPr>
        <w:t>(IORA, 2016a)</w:t>
      </w:r>
      <w:r>
        <w:rPr>
          <w:rFonts w:ascii="Times New Roman" w:hAnsi="Times New Roman" w:cs="Times New Roman"/>
          <w:sz w:val="24"/>
          <w:szCs w:val="24"/>
          <w:shd w:val="clear" w:color="auto" w:fill="FFFFFF"/>
        </w:rPr>
        <w:fldChar w:fldCharType="end"/>
      </w:r>
      <w:r w:rsidRPr="00DE7247">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lastRenderedPageBreak/>
        <w:t>T</w:t>
      </w:r>
      <w:r w:rsidRPr="00DE7247">
        <w:rPr>
          <w:rFonts w:ascii="Times New Roman" w:hAnsi="Times New Roman" w:cs="Times New Roman"/>
          <w:sz w:val="24"/>
          <w:szCs w:val="24"/>
          <w:shd w:val="clear" w:color="auto" w:fill="FFFFFF"/>
        </w:rPr>
        <w:t xml:space="preserve">he export value had increased from 515 USD billion in 2001 to 1.9 USD trillion in 2014. In 2016, IORA region exported a total of 1.88 USD trillion and imported 1.850 USD trillion which translated into a trade balance of 25 USD billion. This shows that the IORA region as a whole is </w:t>
      </w:r>
      <w:r w:rsidR="008E328B">
        <w:rPr>
          <w:rFonts w:ascii="Times New Roman" w:hAnsi="Times New Roman" w:cs="Times New Roman"/>
          <w:sz w:val="24"/>
          <w:szCs w:val="24"/>
          <w:shd w:val="clear" w:color="auto" w:fill="FFFFFF"/>
        </w:rPr>
        <w:t xml:space="preserve">an </w:t>
      </w:r>
      <w:r w:rsidRPr="00DE7247">
        <w:rPr>
          <w:rFonts w:ascii="Times New Roman" w:hAnsi="Times New Roman" w:cs="Times New Roman"/>
          <w:sz w:val="24"/>
          <w:szCs w:val="24"/>
          <w:shd w:val="clear" w:color="auto" w:fill="FFFFFF"/>
        </w:rPr>
        <w:t xml:space="preserve">export oriented region. The region contributes 11% of the world </w:t>
      </w:r>
      <w:r>
        <w:rPr>
          <w:rFonts w:ascii="Times New Roman" w:hAnsi="Times New Roman" w:cs="Times New Roman"/>
          <w:sz w:val="24"/>
          <w:szCs w:val="24"/>
          <w:shd w:val="clear" w:color="auto" w:fill="FFFFFF"/>
        </w:rPr>
        <w:t xml:space="preserve">merchandize </w:t>
      </w:r>
      <w:r w:rsidRPr="00DE7247">
        <w:rPr>
          <w:rFonts w:ascii="Times New Roman" w:hAnsi="Times New Roman" w:cs="Times New Roman"/>
          <w:sz w:val="24"/>
          <w:szCs w:val="24"/>
          <w:shd w:val="clear" w:color="auto" w:fill="FFFFFF"/>
        </w:rPr>
        <w:t xml:space="preserve">exports which </w:t>
      </w:r>
      <w:r>
        <w:rPr>
          <w:rFonts w:ascii="Times New Roman" w:hAnsi="Times New Roman" w:cs="Times New Roman"/>
          <w:sz w:val="24"/>
          <w:szCs w:val="24"/>
          <w:shd w:val="clear" w:color="auto" w:fill="FFFFFF"/>
        </w:rPr>
        <w:t>increased from 9.1% in 2006 to 11.3</w:t>
      </w:r>
      <w:r w:rsidRPr="00DE7247">
        <w:rPr>
          <w:rFonts w:ascii="Times New Roman" w:hAnsi="Times New Roman" w:cs="Times New Roman"/>
          <w:sz w:val="24"/>
          <w:szCs w:val="24"/>
          <w:shd w:val="clear" w:color="auto" w:fill="FFFFFF"/>
        </w:rPr>
        <w:t>% in 2015 indicatin</w:t>
      </w:r>
      <w:r w:rsidR="00491DA6">
        <w:rPr>
          <w:rFonts w:ascii="Times New Roman" w:hAnsi="Times New Roman" w:cs="Times New Roman"/>
          <w:sz w:val="24"/>
          <w:szCs w:val="24"/>
          <w:shd w:val="clear" w:color="auto" w:fill="FFFFFF"/>
        </w:rPr>
        <w:t xml:space="preserve">g </w:t>
      </w:r>
      <w:r w:rsidR="008E328B">
        <w:rPr>
          <w:rFonts w:ascii="Times New Roman" w:hAnsi="Times New Roman" w:cs="Times New Roman"/>
          <w:sz w:val="24"/>
          <w:szCs w:val="24"/>
          <w:shd w:val="clear" w:color="auto" w:fill="FFFFFF"/>
        </w:rPr>
        <w:t xml:space="preserve">a significant </w:t>
      </w:r>
      <w:r w:rsidR="00491DA6">
        <w:rPr>
          <w:rFonts w:ascii="Times New Roman" w:hAnsi="Times New Roman" w:cs="Times New Roman"/>
          <w:sz w:val="24"/>
          <w:szCs w:val="24"/>
          <w:shd w:val="clear" w:color="auto" w:fill="FFFFFF"/>
        </w:rPr>
        <w:t>integration into global trade</w:t>
      </w:r>
      <w:r w:rsidRPr="00DE7247">
        <w:rPr>
          <w:rFonts w:ascii="Times New Roman" w:hAnsi="Times New Roman" w:cs="Times New Roman"/>
          <w:sz w:val="24"/>
          <w:szCs w:val="24"/>
          <w:shd w:val="clear" w:color="auto" w:fill="FFFFFF"/>
        </w:rPr>
        <w:t>. China, USA, Japan, Hong Kong and Korean Republic</w:t>
      </w:r>
      <w:r>
        <w:rPr>
          <w:rFonts w:ascii="Times New Roman" w:hAnsi="Times New Roman" w:cs="Times New Roman"/>
          <w:sz w:val="24"/>
          <w:szCs w:val="24"/>
          <w:shd w:val="clear" w:color="auto" w:fill="FFFFFF"/>
        </w:rPr>
        <w:t xml:space="preserve"> served as </w:t>
      </w:r>
      <w:r w:rsidRPr="00DE7247">
        <w:rPr>
          <w:rFonts w:ascii="Times New Roman" w:hAnsi="Times New Roman" w:cs="Times New Roman"/>
          <w:sz w:val="24"/>
          <w:szCs w:val="24"/>
          <w:shd w:val="clear" w:color="auto" w:fill="FFFFFF"/>
        </w:rPr>
        <w:t xml:space="preserve">major </w:t>
      </w:r>
      <w:r>
        <w:rPr>
          <w:rFonts w:ascii="Times New Roman" w:hAnsi="Times New Roman" w:cs="Times New Roman"/>
          <w:sz w:val="24"/>
          <w:szCs w:val="24"/>
          <w:shd w:val="clear" w:color="auto" w:fill="FFFFFF"/>
        </w:rPr>
        <w:t>destination of</w:t>
      </w:r>
      <w:r w:rsidRPr="00DE7247">
        <w:rPr>
          <w:rFonts w:ascii="Times New Roman" w:hAnsi="Times New Roman" w:cs="Times New Roman"/>
          <w:sz w:val="24"/>
          <w:szCs w:val="24"/>
          <w:shd w:val="clear" w:color="auto" w:fill="FFFFFF"/>
        </w:rPr>
        <w:t xml:space="preserve"> total </w:t>
      </w:r>
      <w:r>
        <w:rPr>
          <w:rFonts w:ascii="Times New Roman" w:hAnsi="Times New Roman" w:cs="Times New Roman"/>
          <w:sz w:val="24"/>
          <w:szCs w:val="24"/>
          <w:shd w:val="clear" w:color="auto" w:fill="FFFFFF"/>
        </w:rPr>
        <w:t>export</w:t>
      </w:r>
      <w:r w:rsidRPr="00DE7247">
        <w:rPr>
          <w:rFonts w:ascii="Times New Roman" w:hAnsi="Times New Roman" w:cs="Times New Roman"/>
          <w:sz w:val="24"/>
          <w:szCs w:val="24"/>
          <w:shd w:val="clear" w:color="auto" w:fill="FFFFFF"/>
        </w:rPr>
        <w:t>. The major exported product</w:t>
      </w:r>
      <w:r>
        <w:rPr>
          <w:rFonts w:ascii="Times New Roman" w:hAnsi="Times New Roman" w:cs="Times New Roman"/>
          <w:sz w:val="24"/>
          <w:szCs w:val="24"/>
          <w:shd w:val="clear" w:color="auto" w:fill="FFFFFF"/>
        </w:rPr>
        <w:t>s</w:t>
      </w:r>
      <w:r w:rsidRPr="00DE724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were related to M</w:t>
      </w:r>
      <w:r w:rsidRPr="00DE7247">
        <w:rPr>
          <w:rFonts w:ascii="Times New Roman" w:hAnsi="Times New Roman" w:cs="Times New Roman"/>
          <w:sz w:val="24"/>
          <w:szCs w:val="24"/>
          <w:shd w:val="clear" w:color="auto" w:fill="FFFFFF"/>
        </w:rPr>
        <w:t xml:space="preserve">achinery and  Mineral fuels, oils and </w:t>
      </w:r>
      <w:r>
        <w:rPr>
          <w:rFonts w:ascii="Times New Roman" w:hAnsi="Times New Roman" w:cs="Times New Roman"/>
          <w:sz w:val="24"/>
          <w:szCs w:val="24"/>
          <w:shd w:val="clear" w:color="auto" w:fill="FFFFFF"/>
        </w:rPr>
        <w:t>gas products,</w:t>
      </w:r>
      <w:r w:rsidRPr="00DE724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which </w:t>
      </w:r>
      <w:r w:rsidRPr="00DE7247">
        <w:rPr>
          <w:rFonts w:ascii="Times New Roman" w:hAnsi="Times New Roman" w:cs="Times New Roman"/>
          <w:sz w:val="24"/>
          <w:szCs w:val="24"/>
          <w:shd w:val="clear" w:color="auto" w:fill="FFFFFF"/>
        </w:rPr>
        <w:t>accounted for 46.13% of the total export</w:t>
      </w:r>
      <w:r>
        <w:rPr>
          <w:rFonts w:ascii="Times New Roman" w:hAnsi="Times New Roman" w:cs="Times New Roman"/>
          <w:sz w:val="24"/>
          <w:szCs w:val="24"/>
          <w:shd w:val="clear" w:color="auto" w:fill="FFFFFF"/>
        </w:rPr>
        <w:t xml:space="preserve"> by IORA in 2015 </w:t>
      </w:r>
      <w:r>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URL":"https://www.trademap.org/Index.aspx","accessed":{"date-parts":[["2018","3","15"]]},"author":[{"dropping-particle":"","family":"ITC","given":"","non-dropping-particle":"","parse-names":false,"suffix":""}],"id":"ITEM-1","issued":{"date-parts":[["2015"]]},"title":"Trade Map - Trade statistics for international business development","type":"webpage"},"uris":["http://www.mendeley.com/documents/?uuid=e4c3dcc1-a036-4d63-93c5-d1dfcd815d26"]},{"id":"ITEM-2","itemData":{"author":[{"dropping-particle":"","family":"IORA","given":"","non-dropping-particle":"","parse-names":false,"suffix":""}],"id":"ITEM-2","issued":{"date-parts":[["2016"]]},"title":"The Sudy On Bilateral and Regional Trade and Investment Related Agreements and Dialogues Between Member States","type":"report"},"uris":["http://www.mendeley.com/documents/?uuid=d25d371d-a0bf-48f5-8072-b89600d23122"]}],"mendeley":{"formattedCitation":"(IORA, 2016a; ITC, 2015)","manualFormatting":"(IORA, 2016; ITC, 2015)","plainTextFormattedCitation":"(IORA, 2016a; ITC, 2015)","previouslyFormattedCitation":"(IORA, 2016a; ITC, 2015)"},"properties":{"noteIndex":0},"schema":"https://github.com/citation-style-language/schema/raw/master/csl-citation.json"}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5B7BFB">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{"citationItems":[{"id":"ITEM-1","itemData":{"author":[{"dropping-particle":"","family":"IORA","given":"","non-dropping-particle":"","parse-names":false,"suffix":""}],"id":"ITEM-1","issued":{"date-parts":[["2016"]]},"title":"The Sudy On Bilateral and Regional Trade and Investment Related Agreements and Dialogues Between Member States","type":"report"},"uris":["http://www.mendeley.com/documents/?uuid=d25d371d-a0bf-48f5-8072-b89600d23122"]}],"mendeley":{"formattedCitation":"(IORA, 2016a)","manualFormatting":"IORA, 2016","plainTextFormattedCitation":"(IORA, 2016a)","previouslyFormattedCitation":"(IORA, 2016a)"},"properties":{"noteIndex":0},"schema":"https://github.com/citation-style-language/schema/raw/master/csl-citation.json"}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5B7BFB">
        <w:rPr>
          <w:rFonts w:ascii="Times New Roman" w:hAnsi="Times New Roman" w:cs="Times New Roman"/>
          <w:sz w:val="24"/>
          <w:szCs w:val="24"/>
          <w:shd w:val="clear" w:color="auto" w:fill="FFFFFF"/>
        </w:rPr>
        <w:t>IORA, 2016</w:t>
      </w:r>
      <w:r>
        <w:rPr>
          <w:rFonts w:ascii="Times New Roman" w:hAnsi="Times New Roman" w:cs="Times New Roman"/>
          <w:sz w:val="24"/>
          <w:szCs w:val="24"/>
          <w:shd w:val="clear" w:color="auto" w:fill="FFFFFF"/>
        </w:rPr>
        <w:fldChar w:fldCharType="end"/>
      </w:r>
      <w:r w:rsidRPr="005B7BFB">
        <w:rPr>
          <w:rFonts w:ascii="Times New Roman" w:hAnsi="Times New Roman" w:cs="Times New Roman"/>
          <w:sz w:val="24"/>
          <w:szCs w:val="24"/>
          <w:shd w:val="clear" w:color="auto" w:fill="FFFFFF"/>
        </w:rPr>
        <w:t>; ITC, 2015)</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w:t>
      </w:r>
    </w:p>
    <w:p w:rsidR="00574119" w:rsidRDefault="00574119" w:rsidP="00D8057B">
      <w:pPr>
        <w:keepNext/>
        <w:spacing w:after="0" w:line="360" w:lineRule="auto"/>
        <w:ind w:right="360"/>
        <w:jc w:val="both"/>
        <w:rPr>
          <w:b/>
          <w:bCs/>
        </w:rPr>
      </w:pPr>
    </w:p>
    <w:p w:rsidR="007B5576" w:rsidRDefault="005D727C" w:rsidP="0053681D">
      <w:pPr>
        <w:spacing w:after="0" w:line="360" w:lineRule="auto"/>
        <w:ind w:right="360"/>
        <w:jc w:val="both"/>
        <w:rPr>
          <w:rFonts w:ascii="Times New Roman" w:hAnsi="Times New Roman" w:cs="Times New Roman"/>
          <w:sz w:val="24"/>
          <w:szCs w:val="24"/>
        </w:rPr>
      </w:pPr>
      <w:r w:rsidRPr="00E24F23">
        <w:drawing>
          <wp:inline distT="0" distB="0" distL="0" distR="0" wp14:anchorId="559EE1CE" wp14:editId="4B498376">
            <wp:extent cx="5247564" cy="2026692"/>
            <wp:effectExtent l="0" t="0" r="10795" b="12065"/>
            <wp:docPr id="5"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D727C" w:rsidRDefault="005D727C" w:rsidP="005D727C">
      <w:pPr>
        <w:pStyle w:val="Caption"/>
        <w:spacing w:after="0"/>
        <w:contextualSpacing/>
        <w:jc w:val="both"/>
        <w:rPr>
          <w:rFonts w:asciiTheme="majorBidi" w:hAnsiTheme="majorBidi" w:cs="Times New Roman"/>
          <w:noProof/>
          <w:color w:val="000000" w:themeColor="text1"/>
          <w:sz w:val="20"/>
          <w:szCs w:val="20"/>
        </w:rPr>
      </w:pPr>
      <w:r w:rsidRPr="00D8057B">
        <w:rPr>
          <w:rFonts w:asciiTheme="majorBidi" w:hAnsiTheme="majorBidi" w:cs="Times New Roman"/>
          <w:noProof/>
          <w:color w:val="000000" w:themeColor="text1"/>
          <w:sz w:val="20"/>
          <w:szCs w:val="20"/>
        </w:rPr>
        <w:t xml:space="preserve">Figure </w:t>
      </w:r>
      <w:r>
        <w:rPr>
          <w:rFonts w:asciiTheme="majorBidi" w:hAnsiTheme="majorBidi" w:cs="Times New Roman"/>
          <w:noProof/>
          <w:color w:val="000000" w:themeColor="text1"/>
          <w:sz w:val="20"/>
          <w:szCs w:val="20"/>
        </w:rPr>
        <w:t>2</w:t>
      </w:r>
      <w:r w:rsidRPr="00D8057B">
        <w:rPr>
          <w:rFonts w:asciiTheme="majorBidi" w:hAnsiTheme="majorBidi" w:cs="Times New Roman"/>
          <w:noProof/>
          <w:color w:val="000000" w:themeColor="text1"/>
          <w:sz w:val="20"/>
          <w:szCs w:val="20"/>
        </w:rPr>
        <w:t xml:space="preserve">  Intra-IORA, Export and Import to World Trade Shares of Total Products</w:t>
      </w:r>
    </w:p>
    <w:p w:rsidR="005D727C" w:rsidRPr="00D8057B" w:rsidRDefault="005D727C" w:rsidP="005D727C">
      <w:pPr>
        <w:pStyle w:val="Caption"/>
        <w:spacing w:after="160"/>
        <w:contextualSpacing/>
        <w:jc w:val="both"/>
        <w:rPr>
          <w:rFonts w:asciiTheme="majorBidi" w:hAnsiTheme="majorBidi" w:cs="Times New Roman"/>
          <w:noProof/>
          <w:color w:val="000000" w:themeColor="text1"/>
          <w:sz w:val="20"/>
          <w:szCs w:val="20"/>
        </w:rPr>
      </w:pPr>
      <w:r w:rsidRPr="00825B39">
        <w:rPr>
          <w:rFonts w:asciiTheme="majorBidi" w:hAnsiTheme="majorBidi" w:cs="Times New Roman"/>
          <w:noProof/>
          <w:color w:val="000000" w:themeColor="text1"/>
          <w:sz w:val="20"/>
          <w:szCs w:val="20"/>
        </w:rPr>
        <w:t>Source: Authors calculations using ITC database</w:t>
      </w:r>
    </w:p>
    <w:p w:rsidR="00DC390A" w:rsidRDefault="0038602B" w:rsidP="0053681D">
      <w:pPr>
        <w:spacing w:after="0" w:line="360" w:lineRule="auto"/>
        <w:ind w:right="360"/>
        <w:jc w:val="both"/>
        <w:rPr>
          <w:rFonts w:ascii="Times New Roman" w:hAnsi="Times New Roman" w:cs="Times New Roman"/>
          <w:sz w:val="24"/>
          <w:szCs w:val="24"/>
        </w:rPr>
      </w:pPr>
      <w:r w:rsidRPr="00E413FE">
        <w:rPr>
          <w:rFonts w:ascii="Times New Roman" w:hAnsi="Times New Roman" w:cs="Times New Roman"/>
          <w:sz w:val="24"/>
          <w:szCs w:val="24"/>
        </w:rPr>
        <w:t xml:space="preserve">The region imported 11.7% of the world imports </w:t>
      </w:r>
      <w:r>
        <w:rPr>
          <w:rFonts w:ascii="Times New Roman" w:hAnsi="Times New Roman" w:cs="Times New Roman"/>
          <w:sz w:val="24"/>
          <w:szCs w:val="24"/>
        </w:rPr>
        <w:t>[</w:t>
      </w:r>
      <w:r w:rsidRPr="00E413FE">
        <w:rPr>
          <w:rFonts w:ascii="Times New Roman" w:hAnsi="Times New Roman" w:cs="Times New Roman"/>
          <w:sz w:val="24"/>
          <w:szCs w:val="24"/>
        </w:rPr>
        <w:t>Fig.</w:t>
      </w:r>
      <w:r w:rsidR="00BC4AA0">
        <w:rPr>
          <w:rFonts w:ascii="Times New Roman" w:hAnsi="Times New Roman" w:cs="Times New Roman"/>
          <w:sz w:val="24"/>
          <w:szCs w:val="24"/>
        </w:rPr>
        <w:t>2</w:t>
      </w:r>
      <w:r>
        <w:rPr>
          <w:rFonts w:ascii="Times New Roman" w:hAnsi="Times New Roman" w:cs="Times New Roman"/>
          <w:sz w:val="24"/>
          <w:szCs w:val="24"/>
        </w:rPr>
        <w:t xml:space="preserve">] </w:t>
      </w:r>
      <w:r w:rsidRPr="00E413FE">
        <w:rPr>
          <w:rFonts w:ascii="Times New Roman" w:hAnsi="Times New Roman" w:cs="Times New Roman"/>
          <w:sz w:val="24"/>
          <w:szCs w:val="24"/>
        </w:rPr>
        <w:t xml:space="preserve">in 2015 </w:t>
      </w:r>
      <w:r w:rsidR="008E328B">
        <w:rPr>
          <w:rFonts w:ascii="Times New Roman" w:hAnsi="Times New Roman" w:cs="Times New Roman"/>
          <w:sz w:val="24"/>
          <w:szCs w:val="24"/>
        </w:rPr>
        <w:t xml:space="preserve">with </w:t>
      </w:r>
      <w:r w:rsidRPr="00E413FE">
        <w:rPr>
          <w:rFonts w:ascii="Times New Roman" w:hAnsi="Times New Roman" w:cs="Times New Roman"/>
          <w:sz w:val="24"/>
          <w:szCs w:val="24"/>
        </w:rPr>
        <w:t xml:space="preserve">India, Singapore, UAE, Thailand, Australia and Malaysia </w:t>
      </w:r>
      <w:r w:rsidR="008E328B">
        <w:rPr>
          <w:rFonts w:ascii="Times New Roman" w:hAnsi="Times New Roman" w:cs="Times New Roman"/>
          <w:sz w:val="24"/>
          <w:szCs w:val="24"/>
        </w:rPr>
        <w:t xml:space="preserve">constituting </w:t>
      </w:r>
      <w:r w:rsidR="008E328B" w:rsidRPr="00E413FE">
        <w:rPr>
          <w:rFonts w:ascii="Times New Roman" w:hAnsi="Times New Roman" w:cs="Times New Roman"/>
          <w:sz w:val="24"/>
          <w:szCs w:val="24"/>
        </w:rPr>
        <w:t xml:space="preserve"> </w:t>
      </w:r>
      <w:r w:rsidRPr="00E413FE">
        <w:rPr>
          <w:rFonts w:ascii="Times New Roman" w:hAnsi="Times New Roman" w:cs="Times New Roman"/>
          <w:sz w:val="24"/>
          <w:szCs w:val="24"/>
        </w:rPr>
        <w:t xml:space="preserve">the largest importing </w:t>
      </w:r>
      <w:r w:rsidR="00EF7A72">
        <w:rPr>
          <w:rFonts w:ascii="Times New Roman" w:hAnsi="Times New Roman" w:cs="Times New Roman"/>
          <w:sz w:val="24"/>
          <w:szCs w:val="24"/>
        </w:rPr>
        <w:t>countries</w:t>
      </w:r>
      <w:r w:rsidRPr="00E413FE">
        <w:rPr>
          <w:rFonts w:ascii="Times New Roman" w:hAnsi="Times New Roman" w:cs="Times New Roman"/>
          <w:sz w:val="24"/>
          <w:szCs w:val="24"/>
        </w:rPr>
        <w:t xml:space="preserve">. Import of machinery; Mineral fuels products; Vehicles other than railway and Natural or cultured pearls made up 52.81% of total imports share during 2006-2015. Importation to the region still face high </w:t>
      </w:r>
      <w:r>
        <w:rPr>
          <w:rFonts w:ascii="Times New Roman" w:hAnsi="Times New Roman" w:cs="Times New Roman"/>
          <w:sz w:val="24"/>
          <w:szCs w:val="24"/>
        </w:rPr>
        <w:t>average</w:t>
      </w:r>
      <w:r w:rsidRPr="002A2D98">
        <w:rPr>
          <w:rStyle w:val="FootnoteReference"/>
          <w:rFonts w:cs="Arial"/>
        </w:rPr>
        <w:footnoteReference w:id="7"/>
      </w:r>
      <w:r>
        <w:rPr>
          <w:rFonts w:ascii="Times New Roman" w:hAnsi="Times New Roman" w:cs="Times New Roman"/>
          <w:sz w:val="24"/>
          <w:szCs w:val="24"/>
        </w:rPr>
        <w:t xml:space="preserve"> </w:t>
      </w:r>
      <w:r w:rsidRPr="00E413FE">
        <w:rPr>
          <w:rFonts w:ascii="Times New Roman" w:hAnsi="Times New Roman" w:cs="Times New Roman"/>
          <w:sz w:val="24"/>
          <w:szCs w:val="24"/>
        </w:rPr>
        <w:t xml:space="preserve">tariff rate which </w:t>
      </w:r>
      <w:r>
        <w:rPr>
          <w:rFonts w:ascii="Times New Roman" w:hAnsi="Times New Roman" w:cs="Times New Roman"/>
          <w:sz w:val="24"/>
          <w:szCs w:val="24"/>
        </w:rPr>
        <w:t xml:space="preserve">range from 11.6% in Sri Lanka </w:t>
      </w:r>
      <w:r w:rsidRPr="00E413FE">
        <w:rPr>
          <w:rFonts w:ascii="Times New Roman" w:hAnsi="Times New Roman" w:cs="Times New Roman"/>
          <w:sz w:val="24"/>
          <w:szCs w:val="24"/>
        </w:rPr>
        <w:t>to as high as 25% in Iran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URL":"https://www.trademap.org/Index.aspx","accessed":{"date-parts":[["2018","3","15"]]},"author":[{"dropping-particle":"","family":"ITC","given":"","non-dropping-particle":"","parse-names":false,"suffix":""}],"id":"ITEM-1","issued":{"date-parts":[["2015"]]},"title":"Trade Map - Trade statistics for international business development","type":"webpage"},"uris":["http://www.mendeley.com/documents/?uuid=e4c3dcc1-a036-4d63-93c5-d1dfcd815d26"]}],"mendeley":{"formattedCitation":"(ITC, 2015)","plainTextFormattedCitation":"(ITC, 2015)","previouslyFormattedCitation":"(ITC, 2015)"},"properties":{"noteIndex":0},"schema":"https://github.com/citation-style-language/schema/raw/master/csl-citation.json"}</w:instrText>
      </w:r>
      <w:r>
        <w:rPr>
          <w:rFonts w:ascii="Times New Roman" w:hAnsi="Times New Roman" w:cs="Times New Roman"/>
          <w:sz w:val="24"/>
          <w:szCs w:val="24"/>
        </w:rPr>
        <w:fldChar w:fldCharType="separate"/>
      </w:r>
      <w:r w:rsidRPr="005B68E3">
        <w:rPr>
          <w:rFonts w:ascii="Times New Roman" w:hAnsi="Times New Roman" w:cs="Times New Roman"/>
          <w:sz w:val="24"/>
          <w:szCs w:val="24"/>
        </w:rPr>
        <w:t>(ITC, 2015)</w:t>
      </w:r>
      <w:r>
        <w:rPr>
          <w:rFonts w:ascii="Times New Roman" w:hAnsi="Times New Roman" w:cs="Times New Roman"/>
          <w:sz w:val="24"/>
          <w:szCs w:val="24"/>
        </w:rPr>
        <w:fldChar w:fldCharType="end"/>
      </w:r>
      <w:r w:rsidRPr="00E413FE">
        <w:rPr>
          <w:rFonts w:ascii="Times New Roman" w:hAnsi="Times New Roman" w:cs="Times New Roman"/>
          <w:sz w:val="24"/>
          <w:szCs w:val="24"/>
        </w:rPr>
        <w:t xml:space="preserve">. The disparity and high tariff level reflects the difference in economic and resource </w:t>
      </w:r>
      <w:r w:rsidR="00E77AA1">
        <w:rPr>
          <w:rFonts w:ascii="Times New Roman" w:hAnsi="Times New Roman" w:cs="Times New Roman"/>
          <w:sz w:val="24"/>
          <w:szCs w:val="24"/>
        </w:rPr>
        <w:t xml:space="preserve">base of member states in IORA. </w:t>
      </w:r>
    </w:p>
    <w:p w:rsidR="00FF04A0" w:rsidRPr="0053681D" w:rsidRDefault="0038602B" w:rsidP="0053681D">
      <w:pPr>
        <w:spacing w:after="0" w:line="360" w:lineRule="auto"/>
        <w:ind w:right="360"/>
        <w:jc w:val="both"/>
        <w:rPr>
          <w:rFonts w:ascii="Times New Roman" w:hAnsi="Times New Roman" w:cs="Times New Roman"/>
          <w:sz w:val="24"/>
          <w:szCs w:val="24"/>
        </w:rPr>
      </w:pPr>
      <w:r w:rsidRPr="00E413FE">
        <w:rPr>
          <w:rFonts w:ascii="Times New Roman" w:hAnsi="Times New Roman" w:cs="Times New Roman"/>
          <w:sz w:val="24"/>
          <w:szCs w:val="24"/>
        </w:rPr>
        <w:lastRenderedPageBreak/>
        <w:t xml:space="preserve">The </w:t>
      </w:r>
      <w:r>
        <w:rPr>
          <w:rFonts w:ascii="Times New Roman" w:hAnsi="Times New Roman" w:cs="Times New Roman"/>
          <w:sz w:val="24"/>
          <w:szCs w:val="24"/>
        </w:rPr>
        <w:t>Intra-Regional T</w:t>
      </w:r>
      <w:r w:rsidRPr="009174AF">
        <w:rPr>
          <w:rFonts w:ascii="Times New Roman" w:hAnsi="Times New Roman" w:cs="Times New Roman"/>
          <w:sz w:val="24"/>
          <w:szCs w:val="24"/>
        </w:rPr>
        <w:t xml:space="preserve">rade (IRT) </w:t>
      </w:r>
      <w:r w:rsidRPr="00E413FE">
        <w:rPr>
          <w:rFonts w:ascii="Times New Roman" w:hAnsi="Times New Roman" w:cs="Times New Roman"/>
          <w:sz w:val="24"/>
          <w:szCs w:val="24"/>
        </w:rPr>
        <w:t>wit</w:t>
      </w:r>
      <w:r>
        <w:rPr>
          <w:rFonts w:ascii="Times New Roman" w:hAnsi="Times New Roman" w:cs="Times New Roman"/>
          <w:sz w:val="24"/>
          <w:szCs w:val="24"/>
        </w:rPr>
        <w:t>hin the region had exhibited an</w:t>
      </w:r>
      <w:r w:rsidRPr="00E413FE">
        <w:rPr>
          <w:rFonts w:ascii="Times New Roman" w:hAnsi="Times New Roman" w:cs="Times New Roman"/>
          <w:sz w:val="24"/>
          <w:szCs w:val="24"/>
        </w:rPr>
        <w:t xml:space="preserve"> increasing</w:t>
      </w:r>
      <w:r>
        <w:rPr>
          <w:rFonts w:ascii="Times New Roman" w:hAnsi="Times New Roman" w:cs="Times New Roman"/>
          <w:sz w:val="24"/>
          <w:szCs w:val="24"/>
        </w:rPr>
        <w:t xml:space="preserve"> trend</w:t>
      </w:r>
      <w:r w:rsidR="00FF04A0">
        <w:rPr>
          <w:rFonts w:ascii="Times New Roman" w:hAnsi="Times New Roman" w:cs="Times New Roman"/>
          <w:sz w:val="24"/>
          <w:szCs w:val="24"/>
        </w:rPr>
        <w:t xml:space="preserve">. In </w:t>
      </w:r>
      <w:r w:rsidRPr="00E413FE">
        <w:rPr>
          <w:rFonts w:ascii="Times New Roman" w:hAnsi="Times New Roman" w:cs="Times New Roman"/>
          <w:sz w:val="24"/>
          <w:szCs w:val="24"/>
        </w:rPr>
        <w:t xml:space="preserve"> fact, the </w:t>
      </w:r>
      <w:r w:rsidRPr="00C1307E">
        <w:rPr>
          <w:rFonts w:ascii="Times New Roman" w:hAnsi="Times New Roman" w:cs="Times New Roman"/>
          <w:sz w:val="24"/>
          <w:szCs w:val="24"/>
        </w:rPr>
        <w:t xml:space="preserve">IRT </w:t>
      </w:r>
      <w:r w:rsidRPr="00E413FE">
        <w:rPr>
          <w:rFonts w:ascii="Times New Roman" w:hAnsi="Times New Roman" w:cs="Times New Roman"/>
          <w:sz w:val="24"/>
          <w:szCs w:val="24"/>
        </w:rPr>
        <w:t xml:space="preserve">flows expanded more than its global trade after formation of IORA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{"citationItems":[{"id":"ITEM-1","itemData":{"author":[{"dropping-particle":"","family":"Mohanty","given":"S. K.","non-dropping-particle":"","parse-names":false,"suffix":""},{"dropping-particle":"","family":"Dash","given":"Priyadarshi","non-dropping-particle":"","parse-names":false,"suffix":""}],"id":"ITEM-1","issued":{"date-parts":[["2015"]]},"publisher-place":"New Delhi, India","title":"Trade and Investment Prospects of the IORA in the New Millennium New Economic Frontiers of the Region","type":"report"},"uris":["http://www.mendeley.com/documents/?uuid=ccccfc38-d7d4-40a6-b920-99cb0c33ecfd"]}],"mendeley":{"formattedCitation":"(Mohanty &amp; Dash, 2015)","plainTextFormattedCitation":"(Mohanty &amp; Dash, 2015)","previouslyFormattedCitation":"(Mohanty &amp; Dash, 2015)"},"properties":{"noteIndex":0},"schema":"https://github.com/citation-style-language/schema/raw/master/csl-citation.json"}</w:instrText>
      </w:r>
      <w:r>
        <w:rPr>
          <w:rFonts w:ascii="Times New Roman" w:hAnsi="Times New Roman" w:cs="Times New Roman"/>
          <w:sz w:val="24"/>
          <w:szCs w:val="24"/>
        </w:rPr>
        <w:fldChar w:fldCharType="separate"/>
      </w:r>
      <w:r w:rsidRPr="005B68E3">
        <w:rPr>
          <w:rFonts w:ascii="Times New Roman" w:hAnsi="Times New Roman" w:cs="Times New Roman"/>
          <w:sz w:val="24"/>
          <w:szCs w:val="24"/>
        </w:rPr>
        <w:t>(Mohanty &amp; Dash, 2015)</w:t>
      </w:r>
      <w:r>
        <w:rPr>
          <w:rFonts w:ascii="Times New Roman" w:hAnsi="Times New Roman" w:cs="Times New Roman"/>
          <w:sz w:val="24"/>
          <w:szCs w:val="24"/>
        </w:rPr>
        <w:fldChar w:fldCharType="end"/>
      </w:r>
      <w:r w:rsidRPr="00E413FE">
        <w:rPr>
          <w:rFonts w:ascii="Times New Roman" w:hAnsi="Times New Roman" w:cs="Times New Roman"/>
          <w:sz w:val="24"/>
          <w:szCs w:val="24"/>
        </w:rPr>
        <w:t xml:space="preserve">. The  </w:t>
      </w:r>
      <w:r w:rsidRPr="009174AF">
        <w:rPr>
          <w:rFonts w:ascii="Times New Roman" w:hAnsi="Times New Roman" w:cs="Times New Roman"/>
          <w:sz w:val="24"/>
          <w:szCs w:val="24"/>
        </w:rPr>
        <w:t>IRT</w:t>
      </w:r>
      <w:r>
        <w:rPr>
          <w:rFonts w:ascii="Times New Roman" w:hAnsi="Times New Roman" w:cs="Times New Roman"/>
          <w:sz w:val="24"/>
          <w:szCs w:val="24"/>
        </w:rPr>
        <w:t xml:space="preserve"> share increased from 28.3</w:t>
      </w:r>
      <w:r w:rsidRPr="00E413FE">
        <w:rPr>
          <w:rFonts w:ascii="Times New Roman" w:hAnsi="Times New Roman" w:cs="Times New Roman"/>
          <w:sz w:val="24"/>
          <w:szCs w:val="24"/>
        </w:rPr>
        <w:t>%</w:t>
      </w:r>
      <w:r>
        <w:rPr>
          <w:rFonts w:ascii="Times New Roman" w:hAnsi="Times New Roman" w:cs="Times New Roman"/>
          <w:sz w:val="24"/>
          <w:szCs w:val="24"/>
        </w:rPr>
        <w:t xml:space="preserve"> in 2006 to 31.3% in 2011 [Fig.</w:t>
      </w:r>
      <w:r w:rsidR="00BC4AA0">
        <w:rPr>
          <w:rFonts w:ascii="Times New Roman" w:hAnsi="Times New Roman" w:cs="Times New Roman"/>
          <w:sz w:val="24"/>
          <w:szCs w:val="24"/>
        </w:rPr>
        <w:t xml:space="preserve"> 2</w:t>
      </w:r>
      <w:r>
        <w:rPr>
          <w:rFonts w:ascii="Times New Roman" w:hAnsi="Times New Roman" w:cs="Times New Roman"/>
          <w:sz w:val="24"/>
          <w:szCs w:val="24"/>
        </w:rPr>
        <w:t>]</w:t>
      </w:r>
      <w:r w:rsidRPr="00E413FE">
        <w:rPr>
          <w:rFonts w:ascii="Times New Roman" w:hAnsi="Times New Roman" w:cs="Times New Roman"/>
          <w:sz w:val="24"/>
          <w:szCs w:val="24"/>
        </w:rPr>
        <w:t xml:space="preserve">. </w:t>
      </w:r>
      <w:r>
        <w:rPr>
          <w:rFonts w:ascii="Times New Roman" w:hAnsi="Times New Roman" w:cs="Times New Roman"/>
          <w:sz w:val="24"/>
          <w:szCs w:val="24"/>
        </w:rPr>
        <w:t>However, it has decreased in</w:t>
      </w:r>
      <w:r w:rsidRPr="00E413FE">
        <w:rPr>
          <w:rFonts w:ascii="Times New Roman" w:hAnsi="Times New Roman" w:cs="Times New Roman"/>
          <w:sz w:val="24"/>
          <w:szCs w:val="24"/>
        </w:rPr>
        <w:t xml:space="preserve"> to 24.1% in 2015</w:t>
      </w:r>
      <w:r>
        <w:rPr>
          <w:rFonts w:ascii="Calibri" w:hAnsi="Calibri" w:cs="Calibri"/>
          <w:color w:val="000000"/>
        </w:rPr>
        <w:t xml:space="preserve">. </w:t>
      </w:r>
      <w:r>
        <w:rPr>
          <w:rFonts w:ascii="Times New Roman" w:hAnsi="Times New Roman" w:cs="Times New Roman"/>
          <w:sz w:val="24"/>
          <w:szCs w:val="24"/>
        </w:rPr>
        <w:t>The fluctuation in IRT flow can be linked to the recent erratic trade performance and inclination of exports of some member states towards IORA dialogue partners</w:t>
      </w:r>
      <w:r w:rsidR="00FF04A0">
        <w:rPr>
          <w:rFonts w:ascii="Times New Roman" w:hAnsi="Times New Roman" w:cs="Times New Roman"/>
          <w:sz w:val="24"/>
          <w:szCs w:val="24"/>
        </w:rPr>
        <w:t xml:space="preserve"> </w:t>
      </w:r>
      <w:r>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{"citationItems":[{"id":"ITEM-1","itemData":{"author":[{"dropping-particle":"","family":"IORA","given":"","non-dropping-particle":"","parse-names":false,"suffix":""}],"id":"ITEM-1","issued":{"date-parts":[["2016"]]},"title":"The Sudy On Bilateral and Regional Trade and Investment Related Agreements and Dialogues Between Member States","type":"report"},"uris":["http://www.mendeley.com/documents/?uuid=d25d371d-a0bf-48f5-8072-b89600d23122"]}],"mendeley":{"formattedCitation":"(IORA, 2016a)","plainTextFormattedCitation":"(IORA, 2016a)","previouslyFormattedCitation":"(IORA, 2016a)"},"properties":{"noteIndex":0},"schema":"https://github.com/citation-style-language/schema/raw/master/csl-citation.json"}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D560E8">
        <w:rPr>
          <w:rFonts w:ascii="Times New Roman" w:hAnsi="Times New Roman" w:cs="Times New Roman"/>
          <w:sz w:val="24"/>
          <w:szCs w:val="24"/>
          <w:shd w:val="clear" w:color="auto" w:fill="FFFFFF"/>
        </w:rPr>
        <w:t>(IORA, 2016a)</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rPr>
        <w:t>. On average, the IORA intra-trade is higher than what is obtained in GCC (10.65%), ASEAN (24.5%), MERCUSOR (13.36) and SAARC (6.95%)</w:t>
      </w:r>
      <w:r w:rsidRPr="002A2D98">
        <w:rPr>
          <w:rStyle w:val="FootnoteReference"/>
          <w:rFonts w:cs="Arial"/>
        </w:rPr>
        <w:footnoteReference w:id="8"/>
      </w:r>
      <w:r w:rsidR="00D077A3">
        <w:rPr>
          <w:rFonts w:ascii="Times New Roman" w:hAnsi="Times New Roman" w:cs="Times New Roman"/>
          <w:sz w:val="24"/>
          <w:szCs w:val="24"/>
        </w:rPr>
        <w:t>.</w:t>
      </w:r>
    </w:p>
    <w:p w:rsidR="004F7D4B" w:rsidRDefault="004F7D4B" w:rsidP="008A24A2">
      <w:pPr>
        <w:spacing w:after="0" w:line="360" w:lineRule="auto"/>
        <w:ind w:right="360"/>
        <w:jc w:val="both"/>
        <w:rPr>
          <w:rFonts w:ascii="Times New Roman" w:hAnsi="Times New Roman" w:cs="Times New Roman"/>
          <w:sz w:val="24"/>
          <w:szCs w:val="24"/>
        </w:rPr>
      </w:pPr>
    </w:p>
    <w:p w:rsidR="006B1411" w:rsidRPr="008A24A2" w:rsidRDefault="0038602B" w:rsidP="00574119">
      <w:pPr>
        <w:spacing w:after="0" w:line="360" w:lineRule="auto"/>
        <w:ind w:right="360"/>
        <w:jc w:val="both"/>
        <w:rPr>
          <w:rFonts w:ascii="Calibri" w:hAnsi="Calibri" w:cs="Calibri"/>
          <w:color w:val="000000"/>
        </w:rPr>
      </w:pPr>
      <w:r>
        <w:rPr>
          <w:rFonts w:ascii="Times New Roman" w:hAnsi="Times New Roman" w:cs="Times New Roman"/>
          <w:sz w:val="24"/>
          <w:szCs w:val="24"/>
        </w:rPr>
        <w:t xml:space="preserve">Despite the progress made to enhance intra-regional trade, the association drawbacks to achieving open regionalism have been affected by huge disparity in size of population and trade, resource endowment, economic incompatibility and technological development of member states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uthor":[{"dropping-particle":"","family":"Dabee","given":"Beeanlasingh","non-dropping-particle":"","parse-names":false,"suffix":""},{"dropping-particle":"","family":"Reddy","given":"Mahinder","non-dropping-particle":"","parse-names":false,"suffix":""}],"container-title":"Harvard Business Review","id":"ITEM-1","issue":"4","issued":{"date-parts":[["2001"]]},"page":"77-85","title":"Regional Agreements In the Indian Ocean","type":"article-journal","volume":"67"},"uris":["http://www.mendeley.com/documents/?uuid=4b54fd96-a4aa-409b-8e86-1288194d14a5"]},{"id":"ITEM-2","itemData":{"DOI":"10.1007/978-94-007-6821-5_10","author":[{"dropping-particle":"","family":"Wippel","given":"Steffen","non-dropping-particle":"","parse-names":false,"suffix":""}],"container-title":"Regionalizing Oman","id":"ITEM-2","issued":{"date-parts":[["2013"]]},"page":"159-183","publisher":"Springer Netherlands","publisher-place":"Dordrecht","title":"Oman and the Indian Ocean Rim – Economic Integration Across Conventional Meta-Regions","type":"chapter"},"uris":["http://www.mendeley.com/documents/?uuid=fa0069d8-af42-32af-9974-e44908ea1a42"]}],"mendeley":{"formattedCitation":"(Dabee &amp; Reddy, 2001; Wippel, 2013)","plainTextFormattedCitation":"(Dabee &amp; Reddy, 2001; Wippel, 2013)","previouslyFormattedCitation":"(Dabee &amp; Reddy, 2001; Wippel, 2013)"},"properties":{"noteIndex":0},"schema":"https://github.com/citation-style-language/schema/raw/master/csl-citation.json"}</w:instrText>
      </w:r>
      <w:r>
        <w:rPr>
          <w:rFonts w:ascii="Times New Roman" w:hAnsi="Times New Roman" w:cs="Times New Roman"/>
          <w:sz w:val="24"/>
          <w:szCs w:val="24"/>
        </w:rPr>
        <w:fldChar w:fldCharType="separate"/>
      </w:r>
      <w:r w:rsidRPr="001F1A7E">
        <w:rPr>
          <w:rFonts w:ascii="Times New Roman" w:hAnsi="Times New Roman" w:cs="Times New Roman"/>
          <w:sz w:val="24"/>
          <w:szCs w:val="24"/>
        </w:rPr>
        <w:t>(Dabee &amp; Reddy, 2001; Wippel, 2013)</w:t>
      </w:r>
      <w:r>
        <w:rPr>
          <w:rFonts w:ascii="Times New Roman" w:hAnsi="Times New Roman" w:cs="Times New Roman"/>
          <w:sz w:val="24"/>
          <w:szCs w:val="24"/>
        </w:rPr>
        <w:fldChar w:fldCharType="end"/>
      </w:r>
      <w:r>
        <w:rPr>
          <w:rFonts w:ascii="Times New Roman" w:hAnsi="Times New Roman" w:cs="Times New Roman"/>
          <w:sz w:val="24"/>
          <w:szCs w:val="24"/>
        </w:rPr>
        <w:t xml:space="preserve">. In addition, the lack of </w:t>
      </w:r>
      <w:r w:rsidRPr="009174AF">
        <w:rPr>
          <w:rFonts w:ascii="Times New Roman" w:hAnsi="Times New Roman" w:cs="Times New Roman"/>
          <w:sz w:val="24"/>
          <w:szCs w:val="24"/>
        </w:rPr>
        <w:t>coherent trade policy regime</w:t>
      </w:r>
      <w:r>
        <w:rPr>
          <w:rFonts w:ascii="Times New Roman" w:hAnsi="Times New Roman" w:cs="Times New Roman"/>
          <w:sz w:val="24"/>
          <w:szCs w:val="24"/>
        </w:rPr>
        <w:t>, unified tariff structures and high Non-Tariff Barriers (NTBs) represent a challenge to the region trade growth. It is expected</w:t>
      </w:r>
      <w:r w:rsidRPr="002432CC">
        <w:rPr>
          <w:rFonts w:ascii="Times New Roman" w:hAnsi="Times New Roman" w:cs="Times New Roman"/>
          <w:sz w:val="24"/>
          <w:szCs w:val="24"/>
        </w:rPr>
        <w:t xml:space="preserve"> that a unification and harmonization of the tariff structures across IORA  economies would further boost the share of intra-regional trade and  the benefit from the </w:t>
      </w:r>
      <w:r>
        <w:rPr>
          <w:rFonts w:ascii="Times New Roman" w:hAnsi="Times New Roman" w:cs="Times New Roman"/>
          <w:sz w:val="24"/>
          <w:szCs w:val="24"/>
        </w:rPr>
        <w:t>open regionalism framework</w:t>
      </w:r>
      <w:r w:rsidRPr="002432CC">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{"citationItems":[{"id":"ITEM-1","itemData":{"author":[{"dropping-particle":"","family":"Mohanty","given":"S. K.","non-dropping-particle":"","parse-names":false,"suffix":""},{"dropping-particle":"","family":"Dash","given":"Priyadarshi","non-dropping-particle":"","parse-names":false,"suffix":""}],"id":"ITEM-1","issued":{"date-parts":[["2015"]]},"publisher-place":"New Delhi, India","title":"Trade and Investment Prospects of the IORA in the New Millennium New Economic Frontiers of the Region","type":"report"},"uris":["http://www.mendeley.com/documents/?uuid=ccccfc38-d7d4-40a6-b920-99cb0c33ecfd"]},{"id":"ITEM-2","itemData":{"author":[{"dropping-particle":"","family":"IORA","given":"","non-dropping-particle":"","parse-names":false,"suffix":""}],"id":"ITEM-2","issued":{"date-parts":[["2016"]]},"title":"The Sudy On Bilateral and Regional Trade and Investment Related Agreements and Dialogues Between Member States","type":"report"},"uris":["http://www.mendeley.com/documents/?uuid=d25d371d-a0bf-48f5-8072-b89600d23122"]}],"mendeley":{"formattedCitation":"(IORA, 2016a; Mohanty &amp; Dash, 2015)","manualFormatting":"(IORA, 2016; Mohanty &amp; Dash, 2015)","plainTextFormattedCitation":"(IORA, 2016a; Mohanty &amp; Dash, 2015)","previouslyFormattedCitation":"(IORA, 2016a; Mohanty &amp; Dash, 2015)"},"properties":{"noteIndex":0},"schema":"https://github.com/citation-style-language/schema/raw/master/csl-citation.json"}</w:instrText>
      </w:r>
      <w:r>
        <w:rPr>
          <w:rFonts w:ascii="Times New Roman" w:hAnsi="Times New Roman" w:cs="Times New Roman"/>
          <w:sz w:val="24"/>
          <w:szCs w:val="24"/>
        </w:rPr>
        <w:fldChar w:fldCharType="separate"/>
      </w:r>
      <w:r w:rsidRPr="005B68E3">
        <w:rPr>
          <w:rFonts w:ascii="Times New Roman" w:hAnsi="Times New Roman" w:cs="Times New Roman"/>
          <w:sz w:val="24"/>
          <w:szCs w:val="24"/>
        </w:rPr>
        <w:t>(</w:t>
      </w:r>
      <w:r w:rsidR="00574119" w:rsidRPr="00574119">
        <w:rPr>
          <w:rFonts w:ascii="Times New Roman" w:hAnsi="Times New Roman" w:cs="Times New Roman"/>
          <w:sz w:val="24"/>
          <w:szCs w:val="24"/>
        </w:rPr>
        <w:t xml:space="preserve"> </w:t>
      </w:r>
      <w:r w:rsidR="00574119" w:rsidRPr="005B68E3">
        <w:rPr>
          <w:rFonts w:ascii="Times New Roman" w:hAnsi="Times New Roman" w:cs="Times New Roman"/>
          <w:sz w:val="24"/>
          <w:szCs w:val="24"/>
        </w:rPr>
        <w:t>Mohanty &amp; Dash, 2015</w:t>
      </w:r>
      <w:r w:rsidR="00574119">
        <w:rPr>
          <w:rFonts w:ascii="Times New Roman" w:hAnsi="Times New Roman" w:cs="Times New Roman"/>
          <w:sz w:val="24"/>
          <w:szCs w:val="24"/>
        </w:rPr>
        <w:t xml:space="preserve">; </w:t>
      </w:r>
      <w:r>
        <w:rPr>
          <w:rFonts w:ascii="Times New Roman" w:hAnsi="Times New Roman" w:cs="Times New Roman"/>
          <w:sz w:val="24"/>
          <w:szCs w:val="24"/>
          <w:shd w:val="clear" w:color="auto" w:fill="FFFFFF"/>
        </w:rPr>
        <w:fldChar w:fldCharType="begin" w:fldLock="1"/>
      </w:r>
      <w:r w:rsidR="00EE4776">
        <w:rPr>
          <w:rFonts w:ascii="Times New Roman" w:hAnsi="Times New Roman" w:cs="Times New Roman"/>
          <w:sz w:val="24"/>
          <w:szCs w:val="24"/>
          <w:shd w:val="clear" w:color="auto" w:fill="FFFFFF"/>
        </w:rPr>
        <w:instrText>ADDIN CSL_CITATION {"citationItems":[{"id":"ITEM-1","itemData":{"author":[{"dropping-particle":"","family":"IORA","given":"","non-dropping-particle":"","parse-names":false,"suffix":""}],"id":"ITEM-1","issued":{"date-parts":[["2016"]]},"title":"The Sudy On Bilateral and Regional Trade and Investment Related Agreements and Dialogues Between Member States","type":"report"},"uris":["http://www.mendeley.com/documents/?uuid=d25d371d-a0bf-48f5-8072-b89600d23122"]}],"mendeley":{"formattedCitation":"(IORA, 2016a)","manualFormatting":"IORA, 2016","plainTextFormattedCitation":"(IORA, 2016a)","previouslyFormattedCitation":"(IORA, 2016a)"},"properties":{"noteIndex":0},"schema":"https://github.com/citation-style-language/schema/raw/master/csl-citation.json"}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sidRPr="005B7BFB">
        <w:rPr>
          <w:rFonts w:ascii="Times New Roman" w:hAnsi="Times New Roman" w:cs="Times New Roman"/>
          <w:sz w:val="24"/>
          <w:szCs w:val="24"/>
          <w:shd w:val="clear" w:color="auto" w:fill="FFFFFF"/>
        </w:rPr>
        <w:t>IORA, 2016</w:t>
      </w:r>
      <w:r>
        <w:rPr>
          <w:rFonts w:ascii="Times New Roman" w:hAnsi="Times New Roman" w:cs="Times New Roman"/>
          <w:sz w:val="24"/>
          <w:szCs w:val="24"/>
          <w:shd w:val="clear" w:color="auto" w:fill="FFFFFF"/>
        </w:rPr>
        <w:fldChar w:fldCharType="end"/>
      </w:r>
      <w:r w:rsidRPr="005B68E3">
        <w:rPr>
          <w:rFonts w:ascii="Times New Roman" w:hAnsi="Times New Roman" w:cs="Times New Roman"/>
          <w:sz w:val="24"/>
          <w:szCs w:val="24"/>
        </w:rPr>
        <w:t>)</w:t>
      </w:r>
      <w:r>
        <w:rPr>
          <w:rFonts w:ascii="Times New Roman" w:hAnsi="Times New Roman" w:cs="Times New Roman"/>
          <w:sz w:val="24"/>
          <w:szCs w:val="24"/>
        </w:rPr>
        <w:fldChar w:fldCharType="end"/>
      </w:r>
      <w:r>
        <w:rPr>
          <w:rFonts w:ascii="Calibri" w:hAnsi="Calibri" w:cs="Calibri"/>
          <w:color w:val="000000"/>
        </w:rPr>
        <w:t>.</w:t>
      </w:r>
      <w:bookmarkStart w:id="3" w:name="_Toc516749391"/>
    </w:p>
    <w:p w:rsidR="004F7D4B" w:rsidRDefault="004F7D4B" w:rsidP="00BC5347">
      <w:pPr>
        <w:pStyle w:val="Heading2"/>
        <w:spacing w:after="120"/>
        <w:rPr>
          <w:rFonts w:asciiTheme="majorBidi" w:hAnsiTheme="majorBidi"/>
          <w:b/>
          <w:bCs/>
          <w:i/>
          <w:iCs/>
          <w:sz w:val="24"/>
          <w:szCs w:val="24"/>
        </w:rPr>
      </w:pPr>
    </w:p>
    <w:p w:rsidR="0038602B" w:rsidRPr="00843058" w:rsidRDefault="00661C8B" w:rsidP="00BC5347">
      <w:pPr>
        <w:pStyle w:val="Heading2"/>
        <w:spacing w:after="120"/>
        <w:rPr>
          <w:rFonts w:asciiTheme="majorBidi" w:hAnsiTheme="majorBidi"/>
          <w:b/>
          <w:bCs/>
          <w:i/>
          <w:iCs/>
          <w:sz w:val="24"/>
          <w:szCs w:val="24"/>
        </w:rPr>
      </w:pPr>
      <w:r w:rsidRPr="00843058">
        <w:rPr>
          <w:rFonts w:asciiTheme="majorBidi" w:hAnsiTheme="majorBidi"/>
          <w:b/>
          <w:bCs/>
          <w:i/>
          <w:iCs/>
          <w:sz w:val="24"/>
          <w:szCs w:val="24"/>
        </w:rPr>
        <w:t>IV</w:t>
      </w:r>
      <w:r w:rsidR="004F7D4B">
        <w:rPr>
          <w:rFonts w:asciiTheme="majorBidi" w:hAnsiTheme="majorBidi"/>
          <w:b/>
          <w:bCs/>
          <w:i/>
          <w:iCs/>
          <w:sz w:val="24"/>
          <w:szCs w:val="24"/>
        </w:rPr>
        <w:t>.</w:t>
      </w:r>
      <w:r w:rsidRPr="00843058">
        <w:rPr>
          <w:rFonts w:asciiTheme="majorBidi" w:hAnsiTheme="majorBidi"/>
          <w:b/>
          <w:bCs/>
          <w:i/>
          <w:iCs/>
          <w:sz w:val="24"/>
          <w:szCs w:val="24"/>
        </w:rPr>
        <w:t xml:space="preserve"> </w:t>
      </w:r>
      <w:r w:rsidRPr="00843058">
        <w:rPr>
          <w:rFonts w:asciiTheme="majorBidi" w:hAnsiTheme="majorBidi"/>
          <w:b/>
          <w:bCs/>
          <w:i/>
          <w:iCs/>
          <w:sz w:val="24"/>
          <w:szCs w:val="24"/>
        </w:rPr>
        <w:tab/>
      </w:r>
      <w:r w:rsidR="0038602B" w:rsidRPr="00843058">
        <w:rPr>
          <w:rFonts w:asciiTheme="majorBidi" w:hAnsiTheme="majorBidi"/>
          <w:b/>
          <w:bCs/>
          <w:i/>
          <w:iCs/>
          <w:sz w:val="24"/>
          <w:szCs w:val="24"/>
        </w:rPr>
        <w:t xml:space="preserve">Oman Trade </w:t>
      </w:r>
      <w:r w:rsidR="00F02A24" w:rsidRPr="00843058">
        <w:rPr>
          <w:rFonts w:asciiTheme="majorBidi" w:hAnsiTheme="majorBidi"/>
          <w:b/>
          <w:bCs/>
          <w:i/>
          <w:iCs/>
          <w:sz w:val="24"/>
          <w:szCs w:val="24"/>
        </w:rPr>
        <w:t>S</w:t>
      </w:r>
      <w:r w:rsidR="0038602B" w:rsidRPr="00843058">
        <w:rPr>
          <w:rFonts w:asciiTheme="majorBidi" w:hAnsiTheme="majorBidi"/>
          <w:b/>
          <w:bCs/>
          <w:i/>
          <w:iCs/>
          <w:sz w:val="24"/>
          <w:szCs w:val="24"/>
        </w:rPr>
        <w:t>tructure</w:t>
      </w:r>
      <w:bookmarkEnd w:id="3"/>
      <w:r w:rsidR="0038602B" w:rsidRPr="00843058">
        <w:rPr>
          <w:rFonts w:asciiTheme="majorBidi" w:hAnsiTheme="majorBidi"/>
          <w:b/>
          <w:bCs/>
          <w:i/>
          <w:iCs/>
          <w:sz w:val="24"/>
          <w:szCs w:val="24"/>
        </w:rPr>
        <w:t xml:space="preserve"> </w:t>
      </w:r>
    </w:p>
    <w:p w:rsidR="0038602B" w:rsidRPr="00834E00" w:rsidRDefault="0038602B" w:rsidP="0038602B">
      <w:pPr>
        <w:spacing w:line="360" w:lineRule="auto"/>
        <w:ind w:righ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Oman has opened up to global trade </w:t>
      </w:r>
      <w:r w:rsidR="009446BE">
        <w:rPr>
          <w:rFonts w:ascii="Times New Roman" w:hAnsi="Times New Roman" w:cs="Times New Roman"/>
          <w:color w:val="000000" w:themeColor="text1"/>
          <w:sz w:val="24"/>
          <w:szCs w:val="24"/>
        </w:rPr>
        <w:t>through bilateral, regional and multilaterad trade liberaliztion measures.</w:t>
      </w:r>
      <w:r>
        <w:rPr>
          <w:rFonts w:ascii="Times New Roman" w:hAnsi="Times New Roman" w:cs="Times New Roman"/>
          <w:color w:val="000000" w:themeColor="text1"/>
          <w:sz w:val="24"/>
          <w:szCs w:val="24"/>
        </w:rPr>
        <w:t xml:space="preserve"> Oman is ranked 66</w:t>
      </w:r>
      <w:r w:rsidRPr="00CF431E">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in world merchandize import with a share of 0.1 % and ranked 64</w:t>
      </w:r>
      <w:r w:rsidRPr="00E952E2">
        <w:rPr>
          <w:rFonts w:ascii="Times New Roman" w:hAnsi="Times New Roman" w:cs="Times New Roman"/>
          <w:color w:val="000000" w:themeColor="text1"/>
          <w:sz w:val="24"/>
          <w:szCs w:val="24"/>
          <w:vertAlign w:val="superscript"/>
        </w:rPr>
        <w:t>th</w:t>
      </w:r>
      <w:r>
        <w:rPr>
          <w:rFonts w:ascii="Times New Roman" w:hAnsi="Times New Roman" w:cs="Times New Roman"/>
          <w:color w:val="000000" w:themeColor="text1"/>
          <w:sz w:val="24"/>
          <w:szCs w:val="24"/>
        </w:rPr>
        <w:t xml:space="preserve"> in world merchandize export with a share of 0.2 %. The merchandise trade continued to increase since the 2000s but have started declining [Fig.</w:t>
      </w:r>
      <w:r w:rsidR="004C15FF">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due to the global financial crises and weakened demand </w:t>
      </w:r>
      <w:r w:rsidRPr="00834E00">
        <w:rPr>
          <w:rFonts w:ascii="Times New Roman" w:hAnsi="Times New Roman" w:cs="Times New Roman"/>
          <w:color w:val="000000" w:themeColor="text1"/>
          <w:sz w:val="24"/>
          <w:szCs w:val="24"/>
        </w:rPr>
        <w:t xml:space="preserve">from </w:t>
      </w:r>
      <w:r w:rsidRPr="000A28E9">
        <w:rPr>
          <w:rFonts w:ascii="Times New Roman" w:hAnsi="Times New Roman" w:cs="Times New Roman"/>
          <w:color w:val="000000" w:themeColor="text1"/>
          <w:sz w:val="24"/>
          <w:szCs w:val="24"/>
        </w:rPr>
        <w:t>its trading partners.</w:t>
      </w:r>
      <w:r>
        <w:rPr>
          <w:rFonts w:ascii="Times New Roman" w:hAnsi="Times New Roman" w:cs="Times New Roman"/>
          <w:color w:val="000000" w:themeColor="text1"/>
          <w:sz w:val="24"/>
          <w:szCs w:val="24"/>
        </w:rPr>
        <w:t xml:space="preserve"> In 2015, the value of trade had equals 108.5 % of GDP </w:t>
      </w:r>
      <w:r>
        <w:rPr>
          <w:rFonts w:ascii="Times New Roman" w:hAnsi="Times New Roman" w:cs="Times New Roman"/>
          <w:color w:val="000000" w:themeColor="text1"/>
          <w:sz w:val="24"/>
          <w:szCs w:val="24"/>
        </w:rPr>
        <w:fldChar w:fldCharType="begin" w:fldLock="1"/>
      </w:r>
      <w:r w:rsidR="00EE4776">
        <w:rPr>
          <w:rFonts w:ascii="Times New Roman" w:hAnsi="Times New Roman" w:cs="Times New Roman"/>
          <w:color w:val="000000" w:themeColor="text1"/>
          <w:sz w:val="24"/>
          <w:szCs w:val="24"/>
        </w:rPr>
        <w:instrText>ADDIN CSL_CITATION {"citationItems":[{"id":"ITEM-1","itemData":{"author":[{"dropping-particle":"","family":"WITS","given":"","non-dropping-particle":"","parse-names":false,"suffix":""}],"container-title":"World Bank, Washington, DC","id":"ITEM-1","issued":{"date-parts":[["2015"]]},"page":"1","title":"Oman Trade Summary 2015","type":"webpage"},"uris":["http://www.mendeley.com/documents/?uuid=0bb7c23a-de78-438c-912e-30e30f351b45"]}],"mendeley":{"formattedCitation":"(WITS, 2015)","plainTextFormattedCitation":"(WITS, 2015)","previouslyFormattedCitation":"(WITS, 2015)"},"properties":{"noteIndex":0},"schema":"https://github.com/citation-style-language/schema/raw/master/csl-citation.json"}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5B68E3">
        <w:rPr>
          <w:rFonts w:ascii="Times New Roman" w:hAnsi="Times New Roman" w:cs="Times New Roman"/>
          <w:color w:val="000000" w:themeColor="text1"/>
          <w:sz w:val="24"/>
          <w:szCs w:val="24"/>
        </w:rPr>
        <w:t>(WITS, 2015)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For the past 15 years, Oman had maintained a positive trade balance. However, the trade balance becomes negative if the export of crude oil is </w:t>
      </w:r>
      <w:r w:rsidR="00D73671">
        <w:rPr>
          <w:rFonts w:ascii="Times New Roman" w:hAnsi="Times New Roman" w:cs="Times New Roman"/>
          <w:color w:val="000000" w:themeColor="text1"/>
          <w:sz w:val="24"/>
          <w:szCs w:val="24"/>
        </w:rPr>
        <w:t>excluded</w:t>
      </w:r>
      <w:r>
        <w:rPr>
          <w:rFonts w:ascii="Times New Roman" w:hAnsi="Times New Roman" w:cs="Times New Roman"/>
          <w:color w:val="000000" w:themeColor="text1"/>
          <w:sz w:val="24"/>
          <w:szCs w:val="24"/>
        </w:rPr>
        <w:t xml:space="preserve">. Oman tariff is based </w:t>
      </w:r>
      <w:r>
        <w:rPr>
          <w:rFonts w:ascii="Times New Roman" w:hAnsi="Times New Roman" w:cs="Times New Roman"/>
          <w:color w:val="000000" w:themeColor="text1"/>
          <w:sz w:val="24"/>
          <w:szCs w:val="24"/>
        </w:rPr>
        <w:lastRenderedPageBreak/>
        <w:t xml:space="preserve">on GCC common external tariff. It applies an </w:t>
      </w:r>
      <w:r w:rsidRPr="00AF7859">
        <w:rPr>
          <w:rFonts w:ascii="Times New Roman" w:hAnsi="Times New Roman" w:cs="Times New Roman"/>
          <w:color w:val="000000" w:themeColor="text1"/>
          <w:sz w:val="24"/>
          <w:szCs w:val="24"/>
        </w:rPr>
        <w:t xml:space="preserve">average applied tariff rate </w:t>
      </w:r>
      <w:r>
        <w:rPr>
          <w:rFonts w:ascii="Times New Roman" w:hAnsi="Times New Roman" w:cs="Times New Roman"/>
          <w:color w:val="000000" w:themeColor="text1"/>
          <w:sz w:val="24"/>
          <w:szCs w:val="24"/>
        </w:rPr>
        <w:t>o</w:t>
      </w:r>
      <w:r w:rsidRPr="00AF7859">
        <w:rPr>
          <w:rFonts w:ascii="Times New Roman" w:hAnsi="Times New Roman" w:cs="Times New Roman"/>
          <w:color w:val="000000" w:themeColor="text1"/>
          <w:sz w:val="24"/>
          <w:szCs w:val="24"/>
        </w:rPr>
        <w:t xml:space="preserve">f  5.5 percent while its bound tariff stood at 14.01 percent </w:t>
      </w:r>
      <w:r>
        <w:rPr>
          <w:rFonts w:ascii="Times New Roman" w:hAnsi="Times New Roman" w:cs="Times New Roman"/>
          <w:color w:val="000000" w:themeColor="text1"/>
          <w:sz w:val="24"/>
          <w:szCs w:val="24"/>
        </w:rPr>
        <w:fldChar w:fldCharType="begin" w:fldLock="1"/>
      </w:r>
      <w:r w:rsidR="00EE4776">
        <w:rPr>
          <w:rFonts w:ascii="Times New Roman" w:hAnsi="Times New Roman" w:cs="Times New Roman"/>
          <w:color w:val="000000" w:themeColor="text1"/>
          <w:sz w:val="24"/>
          <w:szCs w:val="24"/>
        </w:rPr>
        <w:instrText>ADDIN CSL_CITATION {"citationItems":[{"id":"ITEM-1","itemData":{"author":[{"dropping-particle":"","family":"WTO","given":"","non-dropping-particle":"","parse-names":false,"suffix":""}],"id":"ITEM-1","issued":{"date-parts":[["2013"]]},"number-of-pages":"1-65","title":"Trade Policy Review On Oman","type":"report"},"uris":["http://www.mendeley.com/documents/?uuid=e870437c-9bb0-3021-b92b-dcfa8efbe27a"]},{"id":"ITEM-2","itemData":{"author":[{"dropping-particle":"","family":"WTO","given":"","non-dropping-particle":"","parse-names":false,"suffix":""}],"id":"ITEM-2","issued":{"date-parts":[["2016"]]},"page":"1","title":"Oman Trade Profile","type":"webpage"},"uris":["http://www.mendeley.com/documents/?uuid=1c5edcaa-4ac3-476a-8d96-e5eb80a3c395"]}],"mendeley":{"formattedCitation":"(WTO, 2013, 2016)","plainTextFormattedCitation":"(WTO, 2013, 2016)","previouslyFormattedCitation":"(WTO, 2013, 2016)"},"properties":{"noteIndex":0},"schema":"https://github.com/citation-style-language/schema/raw/master/csl-citation.json"}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5B68E3">
        <w:rPr>
          <w:rFonts w:ascii="Times New Roman" w:hAnsi="Times New Roman" w:cs="Times New Roman"/>
          <w:color w:val="000000" w:themeColor="text1"/>
          <w:sz w:val="24"/>
          <w:szCs w:val="24"/>
        </w:rPr>
        <w:t>(WTO, 2013, 2016)</w:t>
      </w:r>
      <w:r>
        <w:rPr>
          <w:rFonts w:ascii="Times New Roman" w:hAnsi="Times New Roman" w:cs="Times New Roman"/>
          <w:color w:val="000000" w:themeColor="text1"/>
          <w:sz w:val="24"/>
          <w:szCs w:val="24"/>
        </w:rPr>
        <w:fldChar w:fldCharType="end"/>
      </w:r>
      <w:r w:rsidRPr="00AF7859">
        <w:rPr>
          <w:rFonts w:ascii="Times New Roman" w:hAnsi="Times New Roman" w:cs="Times New Roman"/>
          <w:color w:val="000000" w:themeColor="text1"/>
          <w:sz w:val="24"/>
          <w:szCs w:val="24"/>
        </w:rPr>
        <w:t>.</w:t>
      </w:r>
    </w:p>
    <w:p w:rsidR="005D727C" w:rsidRDefault="005D727C" w:rsidP="0038602B">
      <w:pPr>
        <w:keepNext/>
        <w:spacing w:line="240" w:lineRule="auto"/>
        <w:ind w:right="360"/>
        <w:jc w:val="both"/>
        <w:rPr>
          <w:b/>
          <w:bCs/>
        </w:rPr>
      </w:pPr>
      <w:r w:rsidRPr="00E24F23">
        <w:drawing>
          <wp:inline distT="0" distB="0" distL="0" distR="0" wp14:anchorId="7E8EE113" wp14:editId="4A5D894B">
            <wp:extent cx="5300345" cy="2006221"/>
            <wp:effectExtent l="0" t="0" r="14605" b="13335"/>
            <wp:docPr id="6"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D727C" w:rsidRPr="005D727C" w:rsidRDefault="005D727C" w:rsidP="005D727C">
      <w:pPr>
        <w:spacing w:after="0" w:line="240" w:lineRule="auto"/>
        <w:jc w:val="both"/>
        <w:rPr>
          <w:rFonts w:asciiTheme="majorBidi" w:eastAsia="Times New Roman" w:hAnsiTheme="majorBidi" w:cs="Times New Roman"/>
          <w:i/>
          <w:iCs/>
          <w:noProof w:val="0"/>
          <w:color w:val="000000" w:themeColor="text1"/>
          <w:sz w:val="20"/>
          <w:szCs w:val="20"/>
        </w:rPr>
      </w:pPr>
      <w:bookmarkStart w:id="4" w:name="_Toc514147394"/>
      <w:r w:rsidRPr="005D727C">
        <w:rPr>
          <w:rFonts w:asciiTheme="majorBidi" w:eastAsia="Times New Roman" w:hAnsiTheme="majorBidi" w:cs="Times New Roman"/>
          <w:i/>
          <w:iCs/>
          <w:noProof w:val="0"/>
          <w:color w:val="000000" w:themeColor="text1"/>
          <w:sz w:val="20"/>
          <w:szCs w:val="20"/>
        </w:rPr>
        <w:t>Figure 3 Oman Export and Imports values</w:t>
      </w:r>
      <w:bookmarkEnd w:id="4"/>
      <w:r w:rsidRPr="005D727C">
        <w:rPr>
          <w:rFonts w:asciiTheme="majorBidi" w:eastAsia="Times New Roman" w:hAnsiTheme="majorBidi" w:cs="Times New Roman"/>
          <w:i/>
          <w:iCs/>
          <w:noProof w:val="0"/>
          <w:color w:val="000000" w:themeColor="text1"/>
          <w:sz w:val="20"/>
          <w:szCs w:val="20"/>
        </w:rPr>
        <w:t xml:space="preserve"> </w:t>
      </w:r>
    </w:p>
    <w:p w:rsidR="005D727C" w:rsidRPr="005D727C" w:rsidRDefault="005D727C" w:rsidP="005D727C">
      <w:pPr>
        <w:spacing w:after="0" w:line="360" w:lineRule="auto"/>
        <w:ind w:right="360"/>
        <w:jc w:val="both"/>
        <w:rPr>
          <w:rFonts w:asciiTheme="majorBidi" w:hAnsiTheme="majorBidi" w:cs="Times New Roman"/>
          <w:i/>
          <w:iCs/>
          <w:color w:val="000000" w:themeColor="text1"/>
          <w:sz w:val="20"/>
          <w:szCs w:val="20"/>
        </w:rPr>
      </w:pPr>
      <w:r w:rsidRPr="005D727C">
        <w:rPr>
          <w:rFonts w:asciiTheme="majorBidi" w:hAnsiTheme="majorBidi" w:cs="Times New Roman"/>
          <w:i/>
          <w:iCs/>
          <w:color w:val="000000" w:themeColor="text1"/>
          <w:sz w:val="20"/>
          <w:szCs w:val="20"/>
        </w:rPr>
        <w:t xml:space="preserve">Source: Authors calculations using ITC database </w:t>
      </w:r>
    </w:p>
    <w:p w:rsidR="0038602B" w:rsidRPr="00574119" w:rsidRDefault="0038602B" w:rsidP="0038602B">
      <w:pPr>
        <w:keepNext/>
        <w:spacing w:line="240" w:lineRule="auto"/>
        <w:ind w:right="360"/>
        <w:jc w:val="both"/>
        <w:rPr>
          <w:b/>
          <w:bCs/>
        </w:rPr>
      </w:pPr>
    </w:p>
    <w:p w:rsidR="0038602B" w:rsidRPr="00843058" w:rsidRDefault="0038602B" w:rsidP="00843058">
      <w:pPr>
        <w:pStyle w:val="Heading4"/>
        <w:numPr>
          <w:ilvl w:val="0"/>
          <w:numId w:val="15"/>
        </w:numPr>
        <w:spacing w:after="120"/>
        <w:rPr>
          <w:rFonts w:asciiTheme="majorBidi" w:hAnsiTheme="majorBidi" w:cstheme="majorBidi"/>
          <w:b/>
          <w:bCs/>
          <w:sz w:val="24"/>
          <w:szCs w:val="24"/>
        </w:rPr>
      </w:pPr>
      <w:r w:rsidRPr="00843058">
        <w:rPr>
          <w:rFonts w:asciiTheme="majorBidi" w:hAnsiTheme="majorBidi" w:cstheme="majorBidi"/>
          <w:b/>
          <w:bCs/>
          <w:sz w:val="24"/>
          <w:szCs w:val="24"/>
        </w:rPr>
        <w:t xml:space="preserve">Export </w:t>
      </w:r>
    </w:p>
    <w:p w:rsidR="0038602B" w:rsidRDefault="0038602B" w:rsidP="00E0759B">
      <w:pPr>
        <w:spacing w:line="360" w:lineRule="auto"/>
        <w:ind w:righ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Total Merchandise export contributed between 42-66 % of GDP during 2000-2016. The export value have increased from 11.1 USD billion in 2001 to 32 USD billion in 2015 but have shown declining trends from 2013 </w:t>
      </w:r>
      <w:r w:rsidR="005323E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Fig.</w:t>
      </w:r>
      <w:r w:rsidR="004C15FF">
        <w:rPr>
          <w:rFonts w:ascii="Times New Roman" w:hAnsi="Times New Roman" w:cs="Times New Roman"/>
          <w:color w:val="000000" w:themeColor="text1"/>
          <w:sz w:val="24"/>
          <w:szCs w:val="24"/>
        </w:rPr>
        <w:t>3</w:t>
      </w:r>
      <w:r w:rsidR="005323E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China (</w:t>
      </w:r>
      <w:r w:rsidRPr="007716E9">
        <w:rPr>
          <w:rFonts w:ascii="Times New Roman" w:hAnsi="Times New Roman" w:cs="Times New Roman"/>
          <w:color w:val="000000" w:themeColor="text1"/>
          <w:sz w:val="24"/>
          <w:szCs w:val="24"/>
        </w:rPr>
        <w:t>24.93</w:t>
      </w:r>
      <w:r>
        <w:rPr>
          <w:rFonts w:ascii="Times New Roman" w:hAnsi="Times New Roman" w:cs="Times New Roman"/>
          <w:color w:val="000000" w:themeColor="text1"/>
          <w:sz w:val="24"/>
          <w:szCs w:val="24"/>
        </w:rPr>
        <w:t>%), United Arab Emirates (UAE) (</w:t>
      </w:r>
      <w:r w:rsidRPr="007716E9">
        <w:rPr>
          <w:rFonts w:ascii="Times New Roman" w:hAnsi="Times New Roman" w:cs="Times New Roman"/>
          <w:color w:val="000000" w:themeColor="text1"/>
          <w:sz w:val="24"/>
          <w:szCs w:val="24"/>
        </w:rPr>
        <w:t>8.65</w:t>
      </w:r>
      <w:r>
        <w:rPr>
          <w:rFonts w:ascii="Times New Roman" w:hAnsi="Times New Roman" w:cs="Times New Roman"/>
          <w:color w:val="000000" w:themeColor="text1"/>
          <w:sz w:val="24"/>
          <w:szCs w:val="24"/>
        </w:rPr>
        <w:t>%),</w:t>
      </w:r>
      <w:r w:rsidRPr="007716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Korea (</w:t>
      </w:r>
      <w:r w:rsidRPr="00280F96">
        <w:rPr>
          <w:rFonts w:ascii="Times New Roman" w:hAnsi="Times New Roman" w:cs="Times New Roman"/>
          <w:color w:val="000000" w:themeColor="text1"/>
          <w:sz w:val="24"/>
          <w:szCs w:val="24"/>
        </w:rPr>
        <w:t>8.09</w:t>
      </w:r>
      <w:r>
        <w:rPr>
          <w:rFonts w:ascii="Times New Roman" w:hAnsi="Times New Roman" w:cs="Times New Roman"/>
          <w:color w:val="000000" w:themeColor="text1"/>
          <w:sz w:val="24"/>
          <w:szCs w:val="24"/>
        </w:rPr>
        <w:t>%),</w:t>
      </w:r>
      <w:r w:rsidRPr="00280F96">
        <w:rPr>
          <w:rFonts w:ascii="Times New Roman" w:hAnsi="Times New Roman" w:cs="Times New Roman"/>
          <w:color w:val="000000" w:themeColor="text1"/>
          <w:sz w:val="24"/>
          <w:szCs w:val="24"/>
        </w:rPr>
        <w:t xml:space="preserve"> Japan </w:t>
      </w:r>
      <w:r>
        <w:rPr>
          <w:rFonts w:ascii="Times New Roman" w:hAnsi="Times New Roman" w:cs="Times New Roman"/>
          <w:color w:val="000000" w:themeColor="text1"/>
          <w:sz w:val="24"/>
          <w:szCs w:val="24"/>
        </w:rPr>
        <w:t>(</w:t>
      </w:r>
      <w:r w:rsidRPr="007716E9">
        <w:rPr>
          <w:rFonts w:ascii="Times New Roman" w:hAnsi="Times New Roman" w:cs="Times New Roman"/>
          <w:color w:val="000000" w:themeColor="text1"/>
          <w:sz w:val="24"/>
          <w:szCs w:val="24"/>
        </w:rPr>
        <w:t>7.46</w:t>
      </w:r>
      <w:r>
        <w:rPr>
          <w:rFonts w:ascii="Times New Roman" w:hAnsi="Times New Roman" w:cs="Times New Roman"/>
          <w:color w:val="000000" w:themeColor="text1"/>
          <w:sz w:val="24"/>
          <w:szCs w:val="24"/>
        </w:rPr>
        <w:t xml:space="preserve">%), </w:t>
      </w:r>
      <w:r w:rsidRPr="00B0302E">
        <w:rPr>
          <w:rFonts w:ascii="Times New Roman" w:hAnsi="Times New Roman" w:cs="Times New Roman"/>
          <w:color w:val="000000" w:themeColor="text1"/>
          <w:sz w:val="24"/>
          <w:szCs w:val="24"/>
        </w:rPr>
        <w:t>Taipei</w:t>
      </w:r>
      <w:r>
        <w:rPr>
          <w:rFonts w:ascii="Times New Roman" w:hAnsi="Times New Roman" w:cs="Times New Roman"/>
          <w:color w:val="000000" w:themeColor="text1"/>
          <w:sz w:val="24"/>
          <w:szCs w:val="24"/>
        </w:rPr>
        <w:t>-Chinese (</w:t>
      </w:r>
      <w:r w:rsidRPr="007716E9">
        <w:rPr>
          <w:rFonts w:ascii="Times New Roman" w:hAnsi="Times New Roman" w:cs="Times New Roman"/>
          <w:color w:val="000000" w:themeColor="text1"/>
          <w:sz w:val="24"/>
          <w:szCs w:val="24"/>
        </w:rPr>
        <w:t>3.33</w:t>
      </w:r>
      <w:r>
        <w:rPr>
          <w:rFonts w:ascii="Times New Roman" w:hAnsi="Times New Roman" w:cs="Times New Roman"/>
          <w:color w:val="000000" w:themeColor="text1"/>
          <w:sz w:val="24"/>
          <w:szCs w:val="24"/>
        </w:rPr>
        <w:t>%), India (</w:t>
      </w:r>
      <w:r w:rsidRPr="007716E9">
        <w:rPr>
          <w:rFonts w:ascii="Times New Roman" w:hAnsi="Times New Roman" w:cs="Times New Roman"/>
          <w:color w:val="000000" w:themeColor="text1"/>
          <w:sz w:val="24"/>
          <w:szCs w:val="24"/>
        </w:rPr>
        <w:t>3.31</w:t>
      </w:r>
      <w:r>
        <w:rPr>
          <w:rFonts w:ascii="Times New Roman" w:hAnsi="Times New Roman" w:cs="Times New Roman"/>
          <w:color w:val="000000" w:themeColor="text1"/>
          <w:sz w:val="24"/>
          <w:szCs w:val="24"/>
        </w:rPr>
        <w:t>%</w:t>
      </w:r>
      <w:r w:rsidRPr="007716E9">
        <w:rPr>
          <w:rFonts w:ascii="Times New Roman" w:hAnsi="Times New Roman" w:cs="Times New Roman"/>
          <w:color w:val="000000" w:themeColor="text1"/>
          <w:sz w:val="24"/>
          <w:szCs w:val="24"/>
        </w:rPr>
        <w:t>), Saudi Arabia (2.09</w:t>
      </w:r>
      <w:r>
        <w:rPr>
          <w:rFonts w:ascii="Times New Roman" w:hAnsi="Times New Roman" w:cs="Times New Roman"/>
          <w:color w:val="000000" w:themeColor="text1"/>
          <w:sz w:val="24"/>
          <w:szCs w:val="24"/>
        </w:rPr>
        <w:t>%</w:t>
      </w:r>
      <w:r w:rsidRPr="007716E9">
        <w:rPr>
          <w:rFonts w:ascii="Times New Roman" w:hAnsi="Times New Roman" w:cs="Times New Roman"/>
          <w:color w:val="000000" w:themeColor="text1"/>
          <w:sz w:val="24"/>
          <w:szCs w:val="24"/>
        </w:rPr>
        <w:t>) and Singapore (1.55</w:t>
      </w:r>
      <w:r>
        <w:rPr>
          <w:rFonts w:ascii="Times New Roman" w:hAnsi="Times New Roman" w:cs="Times New Roman"/>
          <w:color w:val="000000" w:themeColor="text1"/>
          <w:sz w:val="24"/>
          <w:szCs w:val="24"/>
        </w:rPr>
        <w:t>%</w:t>
      </w:r>
      <w:r w:rsidRPr="007716E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were the major export destination [Table </w:t>
      </w:r>
      <w:r w:rsidR="00ED36B0">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Pr="007716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South Africa, Somalia and Pakistan are also emerging as export markets for Oman’s commodities.  Exports of raw materials and consumer goods make the major parts of its exports</w:t>
      </w:r>
      <w:r w:rsidR="00D8057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Major products exported are m</w:t>
      </w:r>
      <w:r w:rsidRPr="00C67FAB">
        <w:rPr>
          <w:rFonts w:ascii="Times New Roman" w:hAnsi="Times New Roman" w:cs="Times New Roman"/>
          <w:color w:val="000000" w:themeColor="text1"/>
          <w:sz w:val="24"/>
          <w:szCs w:val="24"/>
        </w:rPr>
        <w:t>ineral</w:t>
      </w:r>
      <w:r>
        <w:rPr>
          <w:rFonts w:ascii="Times New Roman" w:hAnsi="Times New Roman" w:cs="Times New Roman"/>
          <w:color w:val="000000" w:themeColor="text1"/>
          <w:sz w:val="24"/>
          <w:szCs w:val="24"/>
        </w:rPr>
        <w:t xml:space="preserve"> and </w:t>
      </w:r>
      <w:r w:rsidRPr="00C67FAB">
        <w:rPr>
          <w:rFonts w:ascii="Times New Roman" w:hAnsi="Times New Roman" w:cs="Times New Roman"/>
          <w:color w:val="000000" w:themeColor="text1"/>
          <w:sz w:val="24"/>
          <w:szCs w:val="24"/>
        </w:rPr>
        <w:t>oils</w:t>
      </w:r>
      <w:r>
        <w:rPr>
          <w:rFonts w:ascii="Times New Roman" w:hAnsi="Times New Roman" w:cs="Times New Roman"/>
          <w:color w:val="000000" w:themeColor="text1"/>
          <w:sz w:val="24"/>
          <w:szCs w:val="24"/>
        </w:rPr>
        <w:t xml:space="preserve"> (75.6%);</w:t>
      </w:r>
      <w:r w:rsidRPr="00C67F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v</w:t>
      </w:r>
      <w:r w:rsidRPr="00C67FAB">
        <w:rPr>
          <w:rFonts w:ascii="Times New Roman" w:hAnsi="Times New Roman" w:cs="Times New Roman"/>
          <w:color w:val="000000" w:themeColor="text1"/>
          <w:sz w:val="24"/>
          <w:szCs w:val="24"/>
        </w:rPr>
        <w:t xml:space="preserve">ehicles </w:t>
      </w:r>
      <w:r>
        <w:rPr>
          <w:rFonts w:ascii="Times New Roman" w:hAnsi="Times New Roman" w:cs="Times New Roman"/>
          <w:color w:val="000000" w:themeColor="text1"/>
          <w:sz w:val="24"/>
          <w:szCs w:val="24"/>
        </w:rPr>
        <w:t>parts and accessories (7.5%); o</w:t>
      </w:r>
      <w:r w:rsidRPr="00C67FAB">
        <w:rPr>
          <w:rFonts w:ascii="Times New Roman" w:hAnsi="Times New Roman" w:cs="Times New Roman"/>
          <w:color w:val="000000" w:themeColor="text1"/>
          <w:sz w:val="24"/>
          <w:szCs w:val="24"/>
        </w:rPr>
        <w:t>rganic chemicals</w:t>
      </w:r>
      <w:r>
        <w:rPr>
          <w:rFonts w:ascii="Times New Roman" w:hAnsi="Times New Roman" w:cs="Times New Roman"/>
          <w:color w:val="000000" w:themeColor="text1"/>
          <w:sz w:val="24"/>
          <w:szCs w:val="24"/>
        </w:rPr>
        <w:t xml:space="preserve"> (1.5%); a</w:t>
      </w:r>
      <w:r w:rsidRPr="00C67FAB">
        <w:rPr>
          <w:rFonts w:ascii="Times New Roman" w:hAnsi="Times New Roman" w:cs="Times New Roman"/>
          <w:color w:val="000000" w:themeColor="text1"/>
          <w:sz w:val="24"/>
          <w:szCs w:val="24"/>
        </w:rPr>
        <w:t>luminum and articles thereof</w:t>
      </w:r>
      <w:r>
        <w:rPr>
          <w:rFonts w:ascii="Times New Roman" w:hAnsi="Times New Roman" w:cs="Times New Roman"/>
          <w:color w:val="000000" w:themeColor="text1"/>
          <w:sz w:val="24"/>
          <w:szCs w:val="24"/>
        </w:rPr>
        <w:t xml:space="preserve"> (1.1%); f</w:t>
      </w:r>
      <w:r w:rsidRPr="00C67FAB">
        <w:rPr>
          <w:rFonts w:ascii="Times New Roman" w:hAnsi="Times New Roman" w:cs="Times New Roman"/>
          <w:color w:val="000000" w:themeColor="text1"/>
          <w:sz w:val="24"/>
          <w:szCs w:val="24"/>
        </w:rPr>
        <w:t>ertilizers</w:t>
      </w:r>
      <w:r>
        <w:rPr>
          <w:rFonts w:ascii="Times New Roman" w:hAnsi="Times New Roman" w:cs="Times New Roman"/>
          <w:color w:val="000000" w:themeColor="text1"/>
          <w:sz w:val="24"/>
          <w:szCs w:val="24"/>
        </w:rPr>
        <w:t xml:space="preserve"> (1.2%); electrical machinery, equipment and parts (1.2%)</w:t>
      </w:r>
      <w:r w:rsidRPr="00C67F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plastics</w:t>
      </w:r>
      <w:r w:rsidRPr="00C67FAB">
        <w:rPr>
          <w:rFonts w:ascii="Times New Roman" w:hAnsi="Times New Roman" w:cs="Times New Roman"/>
          <w:color w:val="000000" w:themeColor="text1"/>
          <w:sz w:val="24"/>
          <w:szCs w:val="24"/>
        </w:rPr>
        <w:t xml:space="preserve"> and articles thereof</w:t>
      </w:r>
      <w:r>
        <w:rPr>
          <w:rFonts w:ascii="Times New Roman" w:hAnsi="Times New Roman" w:cs="Times New Roman"/>
          <w:color w:val="000000" w:themeColor="text1"/>
          <w:sz w:val="24"/>
          <w:szCs w:val="24"/>
        </w:rPr>
        <w:t xml:space="preserve"> (1.16%) and i</w:t>
      </w:r>
      <w:r w:rsidRPr="00985684">
        <w:rPr>
          <w:rFonts w:ascii="Times New Roman" w:hAnsi="Times New Roman" w:cs="Times New Roman"/>
          <w:color w:val="000000" w:themeColor="text1"/>
          <w:sz w:val="24"/>
          <w:szCs w:val="24"/>
        </w:rPr>
        <w:t>ron</w:t>
      </w:r>
      <w:r w:rsidRPr="00C67FAB">
        <w:rPr>
          <w:rFonts w:ascii="Times New Roman" w:hAnsi="Times New Roman" w:cs="Times New Roman"/>
          <w:color w:val="000000" w:themeColor="text1"/>
          <w:sz w:val="24"/>
          <w:szCs w:val="24"/>
        </w:rPr>
        <w:t xml:space="preserve"> and steel</w:t>
      </w:r>
      <w:r>
        <w:rPr>
          <w:rFonts w:ascii="Times New Roman" w:hAnsi="Times New Roman" w:cs="Times New Roman"/>
          <w:color w:val="000000" w:themeColor="text1"/>
          <w:sz w:val="24"/>
          <w:szCs w:val="24"/>
        </w:rPr>
        <w:t xml:space="preserve"> (0.7%). </w:t>
      </w:r>
    </w:p>
    <w:p w:rsidR="0053681D" w:rsidRPr="00843058" w:rsidRDefault="0053681D" w:rsidP="0053681D">
      <w:pPr>
        <w:pStyle w:val="Heading4"/>
        <w:spacing w:after="120" w:line="240" w:lineRule="auto"/>
        <w:ind w:left="360"/>
        <w:rPr>
          <w:rFonts w:asciiTheme="majorBidi" w:hAnsiTheme="majorBidi" w:cstheme="majorBidi"/>
          <w:b/>
          <w:bCs/>
          <w:sz w:val="24"/>
          <w:szCs w:val="24"/>
        </w:rPr>
      </w:pPr>
      <w:r>
        <w:rPr>
          <w:rFonts w:asciiTheme="majorBidi" w:hAnsiTheme="majorBidi" w:cstheme="majorBidi"/>
          <w:b/>
          <w:bCs/>
          <w:sz w:val="24"/>
          <w:szCs w:val="24"/>
        </w:rPr>
        <w:t>B</w:t>
      </w:r>
      <w:r>
        <w:rPr>
          <w:rFonts w:asciiTheme="majorBidi" w:hAnsiTheme="majorBidi" w:cstheme="majorBidi"/>
          <w:b/>
          <w:bCs/>
          <w:sz w:val="24"/>
          <w:szCs w:val="24"/>
        </w:rPr>
        <w:tab/>
      </w:r>
      <w:r w:rsidRPr="00843058">
        <w:rPr>
          <w:rFonts w:asciiTheme="majorBidi" w:hAnsiTheme="majorBidi" w:cstheme="majorBidi"/>
          <w:b/>
          <w:bCs/>
          <w:sz w:val="24"/>
          <w:szCs w:val="24"/>
        </w:rPr>
        <w:t>Import</w:t>
      </w:r>
    </w:p>
    <w:p w:rsidR="0053681D" w:rsidRDefault="0053681D" w:rsidP="0053681D">
      <w:pPr>
        <w:spacing w:line="360" w:lineRule="auto"/>
        <w:ind w:righ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Total importation of Oman had increased between 2001- 2013 and have declined since then. During the period of 2006 to 2015, total import worth 232 USD Billion.</w:t>
      </w:r>
      <w:r w:rsidRPr="0053681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supply over this period came from UAE (</w:t>
      </w:r>
      <w:r w:rsidRPr="002A3436">
        <w:rPr>
          <w:rFonts w:ascii="Times New Roman" w:hAnsi="Times New Roman" w:cs="Times New Roman"/>
          <w:color w:val="000000" w:themeColor="text1"/>
          <w:sz w:val="24"/>
          <w:szCs w:val="24"/>
        </w:rPr>
        <w:t>27.88</w:t>
      </w:r>
      <w:r>
        <w:rPr>
          <w:rFonts w:ascii="Times New Roman" w:hAnsi="Times New Roman" w:cs="Times New Roman"/>
          <w:color w:val="000000" w:themeColor="text1"/>
          <w:sz w:val="24"/>
          <w:szCs w:val="24"/>
        </w:rPr>
        <w:t>%), Japan (</w:t>
      </w:r>
      <w:r w:rsidRPr="002A3436">
        <w:rPr>
          <w:rFonts w:ascii="Times New Roman" w:hAnsi="Times New Roman" w:cs="Times New Roman"/>
          <w:color w:val="000000" w:themeColor="text1"/>
          <w:sz w:val="24"/>
          <w:szCs w:val="24"/>
        </w:rPr>
        <w:t>11.81</w:t>
      </w:r>
      <w:r>
        <w:rPr>
          <w:rFonts w:ascii="Times New Roman" w:hAnsi="Times New Roman" w:cs="Times New Roman"/>
          <w:color w:val="000000" w:themeColor="text1"/>
          <w:sz w:val="24"/>
          <w:szCs w:val="24"/>
        </w:rPr>
        <w:t xml:space="preserve">%), India </w:t>
      </w:r>
      <w:r>
        <w:rPr>
          <w:rFonts w:ascii="Times New Roman" w:hAnsi="Times New Roman" w:cs="Times New Roman"/>
          <w:color w:val="000000" w:themeColor="text1"/>
          <w:sz w:val="24"/>
          <w:szCs w:val="24"/>
        </w:rPr>
        <w:lastRenderedPageBreak/>
        <w:t>(</w:t>
      </w:r>
      <w:r w:rsidRPr="002A3436">
        <w:rPr>
          <w:rFonts w:ascii="Times New Roman" w:hAnsi="Times New Roman" w:cs="Times New Roman"/>
          <w:color w:val="000000" w:themeColor="text1"/>
          <w:sz w:val="24"/>
          <w:szCs w:val="24"/>
        </w:rPr>
        <w:t>5.54</w:t>
      </w:r>
      <w:r>
        <w:rPr>
          <w:rFonts w:ascii="Times New Roman" w:hAnsi="Times New Roman" w:cs="Times New Roman"/>
          <w:color w:val="000000" w:themeColor="text1"/>
          <w:sz w:val="24"/>
          <w:szCs w:val="24"/>
        </w:rPr>
        <w:t>%), USA (</w:t>
      </w:r>
      <w:r w:rsidRPr="002A3436">
        <w:rPr>
          <w:rFonts w:ascii="Times New Roman" w:hAnsi="Times New Roman" w:cs="Times New Roman"/>
          <w:color w:val="000000" w:themeColor="text1"/>
          <w:sz w:val="24"/>
          <w:szCs w:val="24"/>
        </w:rPr>
        <w:t>5.04</w:t>
      </w:r>
      <w:r>
        <w:rPr>
          <w:rFonts w:ascii="Times New Roman" w:hAnsi="Times New Roman" w:cs="Times New Roman"/>
          <w:color w:val="000000" w:themeColor="text1"/>
          <w:sz w:val="24"/>
          <w:szCs w:val="24"/>
        </w:rPr>
        <w:t>%), China (</w:t>
      </w:r>
      <w:r w:rsidRPr="006F16F8">
        <w:rPr>
          <w:rFonts w:ascii="Times New Roman" w:hAnsi="Times New Roman" w:cs="Times New Roman"/>
          <w:color w:val="000000" w:themeColor="text1"/>
          <w:sz w:val="24"/>
          <w:szCs w:val="24"/>
        </w:rPr>
        <w:t>4.29</w:t>
      </w:r>
      <w:r>
        <w:rPr>
          <w:rFonts w:ascii="Times New Roman" w:hAnsi="Times New Roman" w:cs="Times New Roman"/>
          <w:color w:val="000000" w:themeColor="text1"/>
          <w:sz w:val="24"/>
          <w:szCs w:val="24"/>
        </w:rPr>
        <w:t>%), Saudi Arabia (</w:t>
      </w:r>
      <w:r w:rsidRPr="002A3436">
        <w:rPr>
          <w:rFonts w:ascii="Times New Roman" w:hAnsi="Times New Roman" w:cs="Times New Roman"/>
          <w:color w:val="000000" w:themeColor="text1"/>
          <w:sz w:val="24"/>
          <w:szCs w:val="24"/>
        </w:rPr>
        <w:t>3.83</w:t>
      </w:r>
      <w:r>
        <w:rPr>
          <w:rFonts w:ascii="Times New Roman" w:hAnsi="Times New Roman" w:cs="Times New Roman"/>
          <w:color w:val="000000" w:themeColor="text1"/>
          <w:sz w:val="24"/>
          <w:szCs w:val="24"/>
        </w:rPr>
        <w:t>%), Germany (</w:t>
      </w:r>
      <w:r w:rsidRPr="002A3436">
        <w:rPr>
          <w:rFonts w:ascii="Times New Roman" w:hAnsi="Times New Roman" w:cs="Times New Roman"/>
          <w:color w:val="000000" w:themeColor="text1"/>
          <w:sz w:val="24"/>
          <w:szCs w:val="24"/>
        </w:rPr>
        <w:t>3.59</w:t>
      </w:r>
      <w:r>
        <w:rPr>
          <w:rFonts w:ascii="Times New Roman" w:hAnsi="Times New Roman" w:cs="Times New Roman"/>
          <w:color w:val="000000" w:themeColor="text1"/>
          <w:sz w:val="24"/>
          <w:szCs w:val="24"/>
        </w:rPr>
        <w:t>%), United Kingdom (</w:t>
      </w:r>
      <w:r w:rsidRPr="002A3436">
        <w:rPr>
          <w:rFonts w:ascii="Times New Roman" w:hAnsi="Times New Roman" w:cs="Times New Roman"/>
          <w:color w:val="000000" w:themeColor="text1"/>
          <w:sz w:val="24"/>
          <w:szCs w:val="24"/>
        </w:rPr>
        <w:t>2.15</w:t>
      </w:r>
      <w:r>
        <w:rPr>
          <w:rFonts w:ascii="Times New Roman" w:hAnsi="Times New Roman" w:cs="Times New Roman"/>
          <w:color w:val="000000" w:themeColor="text1"/>
          <w:sz w:val="24"/>
          <w:szCs w:val="24"/>
        </w:rPr>
        <w:t>%), Brazil (</w:t>
      </w:r>
      <w:r w:rsidRPr="002A3436">
        <w:rPr>
          <w:rFonts w:ascii="Times New Roman" w:hAnsi="Times New Roman" w:cs="Times New Roman"/>
          <w:color w:val="000000" w:themeColor="text1"/>
          <w:sz w:val="24"/>
          <w:szCs w:val="24"/>
        </w:rPr>
        <w:t>2.01</w:t>
      </w:r>
      <w:r>
        <w:rPr>
          <w:rFonts w:ascii="Times New Roman" w:hAnsi="Times New Roman" w:cs="Times New Roman"/>
          <w:color w:val="000000" w:themeColor="text1"/>
          <w:sz w:val="24"/>
          <w:szCs w:val="24"/>
        </w:rPr>
        <w:t>%), Italy (</w:t>
      </w:r>
      <w:r w:rsidRPr="002A3436">
        <w:rPr>
          <w:rFonts w:ascii="Times New Roman" w:hAnsi="Times New Roman" w:cs="Times New Roman"/>
          <w:color w:val="000000" w:themeColor="text1"/>
          <w:sz w:val="24"/>
          <w:szCs w:val="24"/>
        </w:rPr>
        <w:t>1.98</w:t>
      </w:r>
      <w:r>
        <w:rPr>
          <w:rFonts w:ascii="Times New Roman" w:hAnsi="Times New Roman" w:cs="Times New Roman"/>
          <w:color w:val="000000" w:themeColor="text1"/>
          <w:sz w:val="24"/>
          <w:szCs w:val="24"/>
        </w:rPr>
        <w:t>%) and France (</w:t>
      </w:r>
      <w:r w:rsidRPr="002A3436">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t xml:space="preserve">%). The major imported </w:t>
      </w:r>
      <w:r w:rsidRPr="008C7B5F">
        <w:rPr>
          <w:rFonts w:ascii="Times New Roman" w:hAnsi="Times New Roman" w:cs="Times New Roman"/>
          <w:color w:val="000000" w:themeColor="text1"/>
          <w:sz w:val="24"/>
          <w:szCs w:val="24"/>
        </w:rPr>
        <w:t>products</w:t>
      </w:r>
      <w:r>
        <w:rPr>
          <w:rFonts w:ascii="Times New Roman" w:hAnsi="Times New Roman" w:cs="Times New Roman"/>
          <w:color w:val="000000" w:themeColor="text1"/>
          <w:sz w:val="24"/>
          <w:szCs w:val="24"/>
        </w:rPr>
        <w:t xml:space="preserve"> were </w:t>
      </w:r>
      <w:r w:rsidRPr="00C67FAB">
        <w:rPr>
          <w:rFonts w:ascii="Times New Roman" w:hAnsi="Times New Roman" w:cs="Times New Roman"/>
          <w:color w:val="000000" w:themeColor="text1"/>
          <w:sz w:val="24"/>
          <w:szCs w:val="24"/>
        </w:rPr>
        <w:t xml:space="preserve">Vehicles </w:t>
      </w:r>
      <w:r>
        <w:rPr>
          <w:rFonts w:ascii="Times New Roman" w:hAnsi="Times New Roman" w:cs="Times New Roman"/>
          <w:color w:val="000000" w:themeColor="text1"/>
          <w:sz w:val="24"/>
          <w:szCs w:val="24"/>
        </w:rPr>
        <w:t xml:space="preserve">parts and accessories (21.04 %), Machinery, </w:t>
      </w:r>
      <w:r w:rsidRPr="000963AE">
        <w:rPr>
          <w:rFonts w:ascii="Times New Roman" w:hAnsi="Times New Roman" w:cs="Times New Roman"/>
          <w:color w:val="000000" w:themeColor="text1"/>
          <w:sz w:val="24"/>
          <w:szCs w:val="24"/>
        </w:rPr>
        <w:t>mechanical appliances</w:t>
      </w:r>
      <w:r>
        <w:rPr>
          <w:rFonts w:ascii="Times New Roman" w:hAnsi="Times New Roman" w:cs="Times New Roman"/>
          <w:color w:val="000000" w:themeColor="text1"/>
          <w:sz w:val="24"/>
          <w:szCs w:val="24"/>
        </w:rPr>
        <w:t xml:space="preserve"> and parts (14.35%), (</w:t>
      </w:r>
      <w:r w:rsidRPr="00C67FAB">
        <w:rPr>
          <w:rFonts w:ascii="Times New Roman" w:hAnsi="Times New Roman" w:cs="Times New Roman"/>
          <w:color w:val="000000" w:themeColor="text1"/>
          <w:sz w:val="24"/>
          <w:szCs w:val="24"/>
        </w:rPr>
        <w:t>Mineral</w:t>
      </w:r>
      <w:r>
        <w:rPr>
          <w:rFonts w:ascii="Times New Roman" w:hAnsi="Times New Roman" w:cs="Times New Roman"/>
          <w:color w:val="000000" w:themeColor="text1"/>
          <w:sz w:val="24"/>
          <w:szCs w:val="24"/>
        </w:rPr>
        <w:t xml:space="preserve"> and </w:t>
      </w:r>
      <w:r w:rsidRPr="00C67FAB">
        <w:rPr>
          <w:rFonts w:ascii="Times New Roman" w:hAnsi="Times New Roman" w:cs="Times New Roman"/>
          <w:color w:val="000000" w:themeColor="text1"/>
          <w:sz w:val="24"/>
          <w:szCs w:val="24"/>
        </w:rPr>
        <w:t>oils</w:t>
      </w:r>
      <w:r>
        <w:rPr>
          <w:rFonts w:ascii="Times New Roman" w:hAnsi="Times New Roman" w:cs="Times New Roman"/>
          <w:color w:val="000000" w:themeColor="text1"/>
          <w:sz w:val="24"/>
          <w:szCs w:val="24"/>
        </w:rPr>
        <w:t xml:space="preserve"> (8.14%);</w:t>
      </w:r>
      <w:r w:rsidRPr="006C079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Electrical machinery, equipment and parts (6.59%)</w:t>
      </w:r>
      <w:r w:rsidRPr="00C67FA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iron and</w:t>
      </w:r>
      <w:r w:rsidRPr="006C0796">
        <w:rPr>
          <w:rFonts w:ascii="Times New Roman" w:hAnsi="Times New Roman" w:cs="Times New Roman"/>
          <w:color w:val="000000" w:themeColor="text1"/>
          <w:sz w:val="24"/>
          <w:szCs w:val="24"/>
        </w:rPr>
        <w:t xml:space="preserve"> steel</w:t>
      </w:r>
      <w:r>
        <w:rPr>
          <w:rFonts w:ascii="Times New Roman" w:hAnsi="Times New Roman" w:cs="Times New Roman"/>
          <w:color w:val="000000" w:themeColor="text1"/>
          <w:sz w:val="24"/>
          <w:szCs w:val="24"/>
        </w:rPr>
        <w:t xml:space="preserve"> (8.96%); </w:t>
      </w:r>
      <w:r w:rsidRPr="00C67FAB">
        <w:rPr>
          <w:rFonts w:ascii="Times New Roman" w:hAnsi="Times New Roman" w:cs="Times New Roman"/>
          <w:color w:val="000000" w:themeColor="text1"/>
          <w:sz w:val="24"/>
          <w:szCs w:val="24"/>
        </w:rPr>
        <w:t>Aluminum and articles thereof</w:t>
      </w:r>
      <w:r>
        <w:rPr>
          <w:rFonts w:ascii="Times New Roman" w:hAnsi="Times New Roman" w:cs="Times New Roman"/>
          <w:color w:val="000000" w:themeColor="text1"/>
          <w:sz w:val="24"/>
          <w:szCs w:val="24"/>
        </w:rPr>
        <w:t xml:space="preserve"> (1.1%),</w:t>
      </w:r>
      <w:r w:rsidRPr="00C67FA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Plastics</w:t>
      </w:r>
      <w:r w:rsidRPr="00C67FAB">
        <w:rPr>
          <w:rFonts w:ascii="Times New Roman" w:hAnsi="Times New Roman" w:cs="Times New Roman"/>
          <w:color w:val="000000" w:themeColor="text1"/>
          <w:sz w:val="24"/>
          <w:szCs w:val="24"/>
        </w:rPr>
        <w:t xml:space="preserve"> and articles thereof</w:t>
      </w:r>
      <w:r>
        <w:rPr>
          <w:rFonts w:ascii="Times New Roman" w:hAnsi="Times New Roman" w:cs="Times New Roman"/>
          <w:color w:val="000000" w:themeColor="text1"/>
          <w:sz w:val="24"/>
          <w:szCs w:val="24"/>
        </w:rPr>
        <w:t xml:space="preserve"> (2.69%), D</w:t>
      </w:r>
      <w:r w:rsidRPr="006C0796">
        <w:rPr>
          <w:rFonts w:ascii="Times New Roman" w:hAnsi="Times New Roman" w:cs="Times New Roman"/>
          <w:color w:val="000000" w:themeColor="text1"/>
          <w:sz w:val="24"/>
          <w:szCs w:val="24"/>
        </w:rPr>
        <w:t xml:space="preserve">airy products </w:t>
      </w:r>
      <w:r>
        <w:rPr>
          <w:rFonts w:ascii="Times New Roman" w:hAnsi="Times New Roman" w:cs="Times New Roman"/>
          <w:color w:val="000000" w:themeColor="text1"/>
          <w:sz w:val="24"/>
          <w:szCs w:val="24"/>
        </w:rPr>
        <w:t xml:space="preserve">(2.06%) and Cereals (1.48%). </w:t>
      </w:r>
    </w:p>
    <w:p w:rsidR="005D727C" w:rsidRPr="00825B39" w:rsidRDefault="005D727C" w:rsidP="005D727C">
      <w:pPr>
        <w:pStyle w:val="Caption"/>
        <w:keepNext/>
        <w:contextualSpacing/>
        <w:rPr>
          <w:rFonts w:asciiTheme="majorBidi" w:hAnsiTheme="majorBidi" w:cs="Times New Roman"/>
          <w:color w:val="000000" w:themeColor="text1"/>
          <w:sz w:val="24"/>
          <w:szCs w:val="24"/>
        </w:rPr>
      </w:pPr>
      <w:bookmarkStart w:id="5" w:name="_Toc516319594"/>
      <w:r w:rsidRPr="00825B39">
        <w:rPr>
          <w:rFonts w:asciiTheme="majorBidi" w:hAnsiTheme="majorBidi" w:cs="Times New Roman"/>
          <w:color w:val="000000" w:themeColor="text1"/>
          <w:sz w:val="20"/>
          <w:szCs w:val="20"/>
        </w:rPr>
        <w:t xml:space="preserve">Table </w:t>
      </w:r>
      <w:r w:rsidRPr="00825B39">
        <w:rPr>
          <w:rFonts w:asciiTheme="majorBidi" w:hAnsiTheme="majorBidi" w:cs="Times New Roman"/>
          <w:color w:val="000000" w:themeColor="text1"/>
          <w:sz w:val="20"/>
          <w:szCs w:val="20"/>
        </w:rPr>
        <w:fldChar w:fldCharType="begin"/>
      </w:r>
      <w:r w:rsidRPr="00825B39">
        <w:rPr>
          <w:rFonts w:asciiTheme="majorBidi" w:hAnsiTheme="majorBidi" w:cs="Times New Roman"/>
          <w:color w:val="000000" w:themeColor="text1"/>
          <w:sz w:val="20"/>
          <w:szCs w:val="20"/>
        </w:rPr>
        <w:instrText xml:space="preserve"> SEQ Table \* ARABIC </w:instrText>
      </w:r>
      <w:r w:rsidRPr="00825B39">
        <w:rPr>
          <w:rFonts w:asciiTheme="majorBidi" w:hAnsiTheme="majorBidi" w:cs="Times New Roman"/>
          <w:color w:val="000000" w:themeColor="text1"/>
          <w:sz w:val="20"/>
          <w:szCs w:val="20"/>
        </w:rPr>
        <w:fldChar w:fldCharType="separate"/>
      </w:r>
      <w:r>
        <w:rPr>
          <w:rFonts w:asciiTheme="majorBidi" w:hAnsiTheme="majorBidi" w:cs="Times New Roman"/>
          <w:noProof/>
          <w:color w:val="000000" w:themeColor="text1"/>
          <w:sz w:val="20"/>
          <w:szCs w:val="20"/>
        </w:rPr>
        <w:t>1</w:t>
      </w:r>
      <w:r w:rsidRPr="00825B39">
        <w:rPr>
          <w:rFonts w:asciiTheme="majorBidi" w:hAnsiTheme="majorBidi" w:cs="Times New Roman"/>
          <w:color w:val="000000" w:themeColor="text1"/>
          <w:sz w:val="20"/>
          <w:szCs w:val="20"/>
        </w:rPr>
        <w:fldChar w:fldCharType="end"/>
      </w:r>
      <w:r>
        <w:rPr>
          <w:rFonts w:asciiTheme="majorBidi" w:hAnsiTheme="majorBidi" w:cs="Times New Roman"/>
          <w:color w:val="000000" w:themeColor="text1"/>
          <w:sz w:val="20"/>
          <w:szCs w:val="20"/>
        </w:rPr>
        <w:t xml:space="preserve">. </w:t>
      </w:r>
      <w:r w:rsidRPr="00825B39">
        <w:rPr>
          <w:rFonts w:asciiTheme="majorBidi" w:hAnsiTheme="majorBidi" w:cs="Times New Roman"/>
          <w:color w:val="000000" w:themeColor="text1"/>
          <w:sz w:val="20"/>
          <w:szCs w:val="20"/>
        </w:rPr>
        <w:t xml:space="preserve"> Omani Exports and Imports of Total Products (2006–2015</w:t>
      </w:r>
      <w:r w:rsidRPr="00825B39">
        <w:rPr>
          <w:rFonts w:asciiTheme="majorBidi" w:hAnsiTheme="majorBidi" w:cs="Times New Roman"/>
          <w:color w:val="000000" w:themeColor="text1"/>
          <w:sz w:val="24"/>
          <w:szCs w:val="24"/>
        </w:rPr>
        <w:t>)</w:t>
      </w:r>
      <w:bookmarkEnd w:id="5"/>
    </w:p>
    <w:tbl>
      <w:tblPr>
        <w:tblW w:w="8258" w:type="dxa"/>
        <w:tblInd w:w="198" w:type="dxa"/>
        <w:tblLook w:val="04A0" w:firstRow="1" w:lastRow="0" w:firstColumn="1" w:lastColumn="0" w:noHBand="0" w:noVBand="1"/>
      </w:tblPr>
      <w:tblGrid>
        <w:gridCol w:w="416"/>
        <w:gridCol w:w="2473"/>
        <w:gridCol w:w="963"/>
        <w:gridCol w:w="394"/>
        <w:gridCol w:w="488"/>
        <w:gridCol w:w="2056"/>
        <w:gridCol w:w="1468"/>
      </w:tblGrid>
      <w:tr w:rsidR="005D727C" w:rsidRPr="009152F3" w:rsidTr="00C92E74">
        <w:trPr>
          <w:trHeight w:val="231"/>
        </w:trPr>
        <w:tc>
          <w:tcPr>
            <w:tcW w:w="416" w:type="dxa"/>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2473" w:type="dxa"/>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b/>
                <w:bCs/>
                <w:color w:val="000000"/>
                <w:sz w:val="20"/>
                <w:szCs w:val="20"/>
              </w:rPr>
            </w:pPr>
            <w:r w:rsidRPr="009152F3">
              <w:rPr>
                <w:rFonts w:asciiTheme="majorBidi" w:hAnsiTheme="majorBidi" w:cs="Times New Roman"/>
                <w:b/>
                <w:bCs/>
                <w:color w:val="000000"/>
                <w:sz w:val="20"/>
                <w:szCs w:val="20"/>
              </w:rPr>
              <w:t>Total Exports</w:t>
            </w:r>
          </w:p>
        </w:tc>
        <w:tc>
          <w:tcPr>
            <w:tcW w:w="963" w:type="dxa"/>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b/>
                <w:bCs/>
                <w:color w:val="000000"/>
                <w:sz w:val="20"/>
                <w:szCs w:val="20"/>
              </w:rPr>
            </w:pPr>
          </w:p>
        </w:tc>
        <w:tc>
          <w:tcPr>
            <w:tcW w:w="394" w:type="dxa"/>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b/>
                <w:bCs/>
                <w:sz w:val="20"/>
                <w:szCs w:val="20"/>
              </w:rPr>
            </w:pPr>
          </w:p>
        </w:tc>
        <w:tc>
          <w:tcPr>
            <w:tcW w:w="488" w:type="dxa"/>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3524" w:type="dxa"/>
            <w:gridSpan w:val="2"/>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b/>
                <w:bCs/>
                <w:color w:val="000000"/>
                <w:sz w:val="20"/>
                <w:szCs w:val="20"/>
              </w:rPr>
            </w:pPr>
            <w:r w:rsidRPr="009152F3">
              <w:rPr>
                <w:rFonts w:asciiTheme="majorBidi" w:hAnsiTheme="majorBidi" w:cs="Times New Roman"/>
                <w:b/>
                <w:bCs/>
                <w:color w:val="000000"/>
                <w:sz w:val="20"/>
                <w:szCs w:val="20"/>
              </w:rPr>
              <w:t>Total Imports</w:t>
            </w:r>
          </w:p>
        </w:tc>
      </w:tr>
      <w:tr w:rsidR="005D727C" w:rsidRPr="009152F3" w:rsidTr="00C92E74">
        <w:trPr>
          <w:trHeight w:val="231"/>
        </w:trPr>
        <w:tc>
          <w:tcPr>
            <w:tcW w:w="416" w:type="dxa"/>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3830" w:type="dxa"/>
            <w:gridSpan w:val="3"/>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b/>
                <w:bCs/>
                <w:color w:val="000000"/>
                <w:sz w:val="20"/>
                <w:szCs w:val="20"/>
              </w:rPr>
            </w:pPr>
            <w:r>
              <w:rPr>
                <w:rFonts w:asciiTheme="majorBidi" w:hAnsiTheme="majorBidi" w:cs="Times New Roman"/>
                <w:b/>
                <w:bCs/>
                <w:color w:val="000000"/>
                <w:sz w:val="20"/>
                <w:szCs w:val="20"/>
              </w:rPr>
              <w:t xml:space="preserve">Country </w:t>
            </w:r>
            <w:r w:rsidRPr="009152F3">
              <w:rPr>
                <w:rFonts w:asciiTheme="majorBidi" w:hAnsiTheme="majorBidi" w:cs="Times New Roman"/>
                <w:b/>
                <w:bCs/>
                <w:color w:val="000000"/>
                <w:sz w:val="20"/>
                <w:szCs w:val="20"/>
              </w:rPr>
              <w:t xml:space="preserve">Rank </w:t>
            </w:r>
            <w:r>
              <w:rPr>
                <w:rFonts w:asciiTheme="majorBidi" w:hAnsiTheme="majorBidi" w:cs="Times New Roman"/>
                <w:b/>
                <w:bCs/>
                <w:color w:val="000000"/>
                <w:sz w:val="20"/>
                <w:szCs w:val="20"/>
              </w:rPr>
              <w:t>and R</w:t>
            </w:r>
            <w:r w:rsidRPr="009152F3">
              <w:rPr>
                <w:rFonts w:asciiTheme="majorBidi" w:hAnsiTheme="majorBidi" w:cs="Times New Roman"/>
                <w:b/>
                <w:bCs/>
                <w:color w:val="000000"/>
                <w:sz w:val="20"/>
                <w:szCs w:val="20"/>
              </w:rPr>
              <w:t>egion Share (%)</w:t>
            </w:r>
          </w:p>
        </w:tc>
        <w:tc>
          <w:tcPr>
            <w:tcW w:w="488" w:type="dxa"/>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3524" w:type="dxa"/>
            <w:gridSpan w:val="2"/>
            <w:tcBorders>
              <w:top w:val="single" w:sz="4" w:space="0" w:color="auto"/>
              <w:left w:val="nil"/>
              <w:bottom w:val="single" w:sz="4" w:space="0" w:color="auto"/>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b/>
                <w:bCs/>
                <w:color w:val="000000"/>
                <w:sz w:val="20"/>
                <w:szCs w:val="20"/>
              </w:rPr>
            </w:pPr>
            <w:r w:rsidRPr="009152F3">
              <w:rPr>
                <w:rFonts w:asciiTheme="majorBidi" w:hAnsiTheme="majorBidi" w:cs="Times New Roman"/>
                <w:b/>
                <w:bCs/>
                <w:color w:val="000000"/>
                <w:sz w:val="20"/>
                <w:szCs w:val="20"/>
              </w:rPr>
              <w:t xml:space="preserve"> </w:t>
            </w:r>
            <w:r>
              <w:rPr>
                <w:rFonts w:asciiTheme="majorBidi" w:hAnsiTheme="majorBidi" w:cs="Times New Roman"/>
                <w:b/>
                <w:bCs/>
                <w:color w:val="000000"/>
                <w:sz w:val="20"/>
                <w:szCs w:val="20"/>
              </w:rPr>
              <w:t xml:space="preserve">Country </w:t>
            </w:r>
            <w:r w:rsidRPr="009152F3">
              <w:rPr>
                <w:rFonts w:asciiTheme="majorBidi" w:hAnsiTheme="majorBidi" w:cs="Times New Roman"/>
                <w:b/>
                <w:bCs/>
                <w:color w:val="000000"/>
                <w:sz w:val="20"/>
                <w:szCs w:val="20"/>
              </w:rPr>
              <w:t xml:space="preserve">Rank </w:t>
            </w:r>
            <w:r>
              <w:rPr>
                <w:rFonts w:asciiTheme="majorBidi" w:hAnsiTheme="majorBidi" w:cs="Times New Roman"/>
                <w:b/>
                <w:bCs/>
                <w:color w:val="000000"/>
                <w:sz w:val="20"/>
                <w:szCs w:val="20"/>
              </w:rPr>
              <w:t>and R</w:t>
            </w:r>
            <w:r w:rsidRPr="009152F3">
              <w:rPr>
                <w:rFonts w:asciiTheme="majorBidi" w:hAnsiTheme="majorBidi" w:cs="Times New Roman"/>
                <w:b/>
                <w:bCs/>
                <w:color w:val="000000"/>
                <w:sz w:val="20"/>
                <w:szCs w:val="20"/>
              </w:rPr>
              <w:t>egion Share (%)</w:t>
            </w:r>
          </w:p>
        </w:tc>
      </w:tr>
      <w:tr w:rsidR="005D727C" w:rsidRPr="009152F3" w:rsidTr="00C92E74">
        <w:trPr>
          <w:trHeight w:val="231"/>
        </w:trPr>
        <w:tc>
          <w:tcPr>
            <w:tcW w:w="416" w:type="dxa"/>
            <w:tcBorders>
              <w:top w:val="single" w:sz="4" w:space="0" w:color="auto"/>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1</w:t>
            </w:r>
          </w:p>
        </w:tc>
        <w:tc>
          <w:tcPr>
            <w:tcW w:w="2473" w:type="dxa"/>
            <w:tcBorders>
              <w:top w:val="single" w:sz="4" w:space="0" w:color="auto"/>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China</w:t>
            </w:r>
          </w:p>
        </w:tc>
        <w:tc>
          <w:tcPr>
            <w:tcW w:w="963" w:type="dxa"/>
            <w:tcBorders>
              <w:top w:val="single" w:sz="4" w:space="0" w:color="auto"/>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24.93</w:t>
            </w:r>
          </w:p>
        </w:tc>
        <w:tc>
          <w:tcPr>
            <w:tcW w:w="394" w:type="dxa"/>
            <w:tcBorders>
              <w:top w:val="single" w:sz="4" w:space="0" w:color="auto"/>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single" w:sz="4" w:space="0" w:color="auto"/>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1</w:t>
            </w:r>
          </w:p>
        </w:tc>
        <w:tc>
          <w:tcPr>
            <w:tcW w:w="2056" w:type="dxa"/>
            <w:tcBorders>
              <w:top w:val="single" w:sz="4" w:space="0" w:color="auto"/>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UAE</w:t>
            </w:r>
          </w:p>
        </w:tc>
        <w:tc>
          <w:tcPr>
            <w:tcW w:w="1468" w:type="dxa"/>
            <w:tcBorders>
              <w:top w:val="single" w:sz="4" w:space="0" w:color="auto"/>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27.88</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2</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UAE</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8.65</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2</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Japan</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11.81</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3</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Korea, Republic of</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8.09</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3</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India</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5.54</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4</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Japan</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7.46</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4</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USA</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5.04</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5</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Taipei, Chinese</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3.33</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5</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China</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4.29</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6</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India</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3.31</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6</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Saudi Arabia</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3.83</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7</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Saudi Arabia</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2.09</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7</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Germany</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3.59</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8</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Singapore</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1.55</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8</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United Kingdom</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2.15</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9</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USA</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1.11</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9</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Brazil</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2.01</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10</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Malaysia</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1.09</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10</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Italy</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1.98</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11</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Pakistan</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11</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France</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1.5</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12</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Qatar</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0.63</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12</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Italy</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1.98</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13</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Iraq</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0.6</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13</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Belgium</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1.11</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14</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Yemen</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0.48</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14</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Qatar</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1.09</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r w:rsidRPr="009152F3">
              <w:rPr>
                <w:rFonts w:asciiTheme="majorBidi" w:hAnsiTheme="majorBidi" w:cs="Times New Roman"/>
                <w:color w:val="000000"/>
                <w:sz w:val="20"/>
                <w:szCs w:val="20"/>
              </w:rPr>
              <w:t>15</w:t>
            </w: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South Africa</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0.31</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r w:rsidRPr="009152F3">
              <w:rPr>
                <w:rFonts w:asciiTheme="majorBidi" w:hAnsiTheme="majorBidi" w:cs="Times New Roman"/>
                <w:color w:val="000000"/>
                <w:sz w:val="20"/>
                <w:szCs w:val="20"/>
              </w:rPr>
              <w:t>15</w:t>
            </w:r>
          </w:p>
        </w:tc>
        <w:tc>
          <w:tcPr>
            <w:tcW w:w="2056" w:type="dxa"/>
            <w:tcBorders>
              <w:top w:val="nil"/>
              <w:left w:val="nil"/>
              <w:bottom w:val="nil"/>
              <w:right w:val="nil"/>
            </w:tcBorders>
            <w:noWrap/>
            <w:hideMark/>
          </w:tcPr>
          <w:p w:rsidR="005D727C" w:rsidRPr="005773F4" w:rsidRDefault="005D727C" w:rsidP="00C92E74">
            <w:pPr>
              <w:spacing w:line="240" w:lineRule="auto"/>
              <w:contextualSpacing/>
              <w:rPr>
                <w:rFonts w:asciiTheme="majorBidi" w:hAnsiTheme="majorBidi" w:cs="Times New Roman"/>
                <w:sz w:val="20"/>
                <w:szCs w:val="20"/>
              </w:rPr>
            </w:pPr>
            <w:r w:rsidRPr="005773F4">
              <w:rPr>
                <w:rFonts w:asciiTheme="majorBidi" w:hAnsiTheme="majorBidi" w:cs="Times New Roman"/>
                <w:sz w:val="20"/>
                <w:szCs w:val="20"/>
              </w:rPr>
              <w:t>Singapore</w:t>
            </w:r>
          </w:p>
        </w:tc>
        <w:tc>
          <w:tcPr>
            <w:tcW w:w="1468" w:type="dxa"/>
            <w:tcBorders>
              <w:top w:val="nil"/>
              <w:left w:val="nil"/>
              <w:bottom w:val="nil"/>
              <w:right w:val="nil"/>
            </w:tcBorders>
            <w:noWrap/>
            <w:hideMark/>
          </w:tcPr>
          <w:p w:rsidR="005D727C" w:rsidRPr="009152F3" w:rsidRDefault="005D727C" w:rsidP="00C92E74">
            <w:pPr>
              <w:spacing w:line="240" w:lineRule="auto"/>
              <w:contextualSpacing/>
              <w:jc w:val="center"/>
              <w:rPr>
                <w:rFonts w:asciiTheme="majorBidi" w:hAnsiTheme="majorBidi" w:cs="Times New Roman"/>
                <w:sz w:val="20"/>
                <w:szCs w:val="20"/>
              </w:rPr>
            </w:pPr>
            <w:r w:rsidRPr="009152F3">
              <w:rPr>
                <w:rFonts w:asciiTheme="majorBidi" w:hAnsiTheme="majorBidi" w:cs="Times New Roman"/>
                <w:sz w:val="20"/>
                <w:szCs w:val="20"/>
              </w:rPr>
              <w:t>1.01</w:t>
            </w:r>
          </w:p>
        </w:tc>
      </w:tr>
      <w:tr w:rsidR="005D727C" w:rsidRPr="009152F3" w:rsidTr="00C92E74">
        <w:trPr>
          <w:trHeight w:val="169"/>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sz w:val="20"/>
                <w:szCs w:val="20"/>
              </w:rPr>
            </w:pP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sz w:val="20"/>
                <w:szCs w:val="20"/>
              </w:rPr>
            </w:pP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sz w:val="20"/>
                <w:szCs w:val="20"/>
              </w:rPr>
            </w:pPr>
          </w:p>
        </w:tc>
        <w:tc>
          <w:tcPr>
            <w:tcW w:w="1468"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sz w:val="20"/>
                <w:szCs w:val="20"/>
              </w:rPr>
            </w:pP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IORA</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23.47</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IORA</w:t>
            </w:r>
          </w:p>
        </w:tc>
        <w:tc>
          <w:tcPr>
            <w:tcW w:w="1468"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41.38</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IORA+7</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57.7</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IORA+7</w:t>
            </w:r>
          </w:p>
        </w:tc>
        <w:tc>
          <w:tcPr>
            <w:tcW w:w="1468"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70.2</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GCC</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12.04</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GCC</w:t>
            </w:r>
          </w:p>
        </w:tc>
        <w:tc>
          <w:tcPr>
            <w:tcW w:w="1468"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34.5</w:t>
            </w:r>
          </w:p>
        </w:tc>
      </w:tr>
      <w:tr w:rsidR="005D727C" w:rsidRPr="009152F3" w:rsidTr="00C92E74">
        <w:trPr>
          <w:trHeight w:val="231"/>
        </w:trPr>
        <w:tc>
          <w:tcPr>
            <w:tcW w:w="416" w:type="dxa"/>
            <w:tcBorders>
              <w:top w:val="nil"/>
              <w:left w:val="nil"/>
              <w:bottom w:val="nil"/>
              <w:right w:val="nil"/>
            </w:tcBorders>
            <w:noWrap/>
            <w:vAlign w:val="bottom"/>
            <w:hideMark/>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GAFTA</w:t>
            </w:r>
          </w:p>
        </w:tc>
        <w:tc>
          <w:tcPr>
            <w:tcW w:w="963"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13.92</w:t>
            </w:r>
          </w:p>
        </w:tc>
        <w:tc>
          <w:tcPr>
            <w:tcW w:w="394"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color w:val="000000"/>
                <w:sz w:val="20"/>
                <w:szCs w:val="20"/>
              </w:rPr>
            </w:pPr>
          </w:p>
        </w:tc>
        <w:tc>
          <w:tcPr>
            <w:tcW w:w="488" w:type="dxa"/>
            <w:tcBorders>
              <w:top w:val="nil"/>
              <w:left w:val="nil"/>
              <w:bottom w:val="nil"/>
              <w:right w:val="nil"/>
            </w:tcBorders>
            <w:noWrap/>
            <w:vAlign w:val="bottom"/>
            <w:hideMark/>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nil"/>
              <w:right w:val="nil"/>
            </w:tcBorders>
            <w:noWrap/>
            <w:vAlign w:val="bottom"/>
            <w:hideMark/>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GAFTA</w:t>
            </w:r>
          </w:p>
        </w:tc>
        <w:tc>
          <w:tcPr>
            <w:tcW w:w="1468" w:type="dxa"/>
            <w:tcBorders>
              <w:top w:val="nil"/>
              <w:left w:val="nil"/>
              <w:bottom w:val="nil"/>
              <w:right w:val="nil"/>
            </w:tcBorders>
            <w:noWrap/>
            <w:vAlign w:val="bottom"/>
            <w:hideMark/>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35.5</w:t>
            </w:r>
          </w:p>
        </w:tc>
      </w:tr>
      <w:tr w:rsidR="005D727C" w:rsidRPr="009152F3" w:rsidTr="00C92E74">
        <w:trPr>
          <w:trHeight w:val="231"/>
        </w:trPr>
        <w:tc>
          <w:tcPr>
            <w:tcW w:w="416" w:type="dxa"/>
            <w:tcBorders>
              <w:top w:val="nil"/>
              <w:left w:val="nil"/>
              <w:bottom w:val="nil"/>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bottom w:val="nil"/>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ASEAN</w:t>
            </w:r>
          </w:p>
        </w:tc>
        <w:tc>
          <w:tcPr>
            <w:tcW w:w="963" w:type="dxa"/>
            <w:tcBorders>
              <w:top w:val="nil"/>
              <w:left w:val="nil"/>
              <w:bottom w:val="nil"/>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8.56</w:t>
            </w:r>
          </w:p>
        </w:tc>
        <w:tc>
          <w:tcPr>
            <w:tcW w:w="394" w:type="dxa"/>
            <w:tcBorders>
              <w:top w:val="nil"/>
              <w:left w:val="nil"/>
              <w:bottom w:val="nil"/>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488" w:type="dxa"/>
            <w:tcBorders>
              <w:top w:val="nil"/>
              <w:left w:val="nil"/>
              <w:bottom w:val="nil"/>
              <w:right w:val="nil"/>
            </w:tcBorders>
            <w:noWrap/>
            <w:vAlign w:val="bottom"/>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nil"/>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ASEAN</w:t>
            </w:r>
          </w:p>
        </w:tc>
        <w:tc>
          <w:tcPr>
            <w:tcW w:w="1468" w:type="dxa"/>
            <w:tcBorders>
              <w:top w:val="nil"/>
              <w:left w:val="nil"/>
              <w:bottom w:val="nil"/>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4.79</w:t>
            </w:r>
          </w:p>
        </w:tc>
      </w:tr>
      <w:tr w:rsidR="005D727C" w:rsidRPr="009152F3" w:rsidTr="00C92E74">
        <w:trPr>
          <w:trHeight w:val="231"/>
        </w:trPr>
        <w:tc>
          <w:tcPr>
            <w:tcW w:w="416" w:type="dxa"/>
            <w:tcBorders>
              <w:top w:val="nil"/>
              <w:left w:val="nil"/>
              <w:bottom w:val="nil"/>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bottom w:val="nil"/>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EU 28</w:t>
            </w:r>
          </w:p>
        </w:tc>
        <w:tc>
          <w:tcPr>
            <w:tcW w:w="963" w:type="dxa"/>
            <w:tcBorders>
              <w:top w:val="nil"/>
              <w:left w:val="nil"/>
              <w:bottom w:val="nil"/>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1.74</w:t>
            </w:r>
          </w:p>
        </w:tc>
        <w:tc>
          <w:tcPr>
            <w:tcW w:w="394" w:type="dxa"/>
            <w:tcBorders>
              <w:top w:val="nil"/>
              <w:left w:val="nil"/>
              <w:bottom w:val="nil"/>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488" w:type="dxa"/>
            <w:tcBorders>
              <w:top w:val="nil"/>
              <w:left w:val="nil"/>
              <w:bottom w:val="nil"/>
              <w:right w:val="nil"/>
            </w:tcBorders>
            <w:noWrap/>
            <w:vAlign w:val="bottom"/>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nil"/>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EU 28</w:t>
            </w:r>
          </w:p>
        </w:tc>
        <w:tc>
          <w:tcPr>
            <w:tcW w:w="1468" w:type="dxa"/>
            <w:tcBorders>
              <w:top w:val="nil"/>
              <w:left w:val="nil"/>
              <w:bottom w:val="nil"/>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15.16</w:t>
            </w:r>
          </w:p>
        </w:tc>
      </w:tr>
      <w:tr w:rsidR="005D727C" w:rsidRPr="009152F3" w:rsidTr="00C92E74">
        <w:trPr>
          <w:trHeight w:val="231"/>
        </w:trPr>
        <w:tc>
          <w:tcPr>
            <w:tcW w:w="416" w:type="dxa"/>
            <w:tcBorders>
              <w:top w:val="nil"/>
              <w:left w:val="nil"/>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SAARC</w:t>
            </w:r>
          </w:p>
        </w:tc>
        <w:tc>
          <w:tcPr>
            <w:tcW w:w="963" w:type="dxa"/>
            <w:tcBorders>
              <w:top w:val="nil"/>
              <w:left w:val="nil"/>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4.67</w:t>
            </w:r>
          </w:p>
        </w:tc>
        <w:tc>
          <w:tcPr>
            <w:tcW w:w="394" w:type="dxa"/>
            <w:tcBorders>
              <w:top w:val="nil"/>
              <w:left w:val="nil"/>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488" w:type="dxa"/>
            <w:tcBorders>
              <w:top w:val="nil"/>
              <w:left w:val="nil"/>
              <w:right w:val="nil"/>
            </w:tcBorders>
            <w:noWrap/>
            <w:vAlign w:val="bottom"/>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SAARC</w:t>
            </w:r>
          </w:p>
        </w:tc>
        <w:tc>
          <w:tcPr>
            <w:tcW w:w="1468" w:type="dxa"/>
            <w:tcBorders>
              <w:top w:val="nil"/>
              <w:left w:val="nil"/>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6.44</w:t>
            </w:r>
          </w:p>
        </w:tc>
      </w:tr>
      <w:tr w:rsidR="005D727C" w:rsidRPr="009152F3" w:rsidTr="00C92E74">
        <w:trPr>
          <w:trHeight w:val="231"/>
        </w:trPr>
        <w:tc>
          <w:tcPr>
            <w:tcW w:w="416" w:type="dxa"/>
            <w:tcBorders>
              <w:top w:val="nil"/>
              <w:left w:val="nil"/>
              <w:bottom w:val="single" w:sz="4" w:space="0" w:color="auto"/>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2473" w:type="dxa"/>
            <w:tcBorders>
              <w:top w:val="nil"/>
              <w:left w:val="nil"/>
              <w:bottom w:val="single" w:sz="4" w:space="0" w:color="auto"/>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OECD</w:t>
            </w:r>
          </w:p>
        </w:tc>
        <w:tc>
          <w:tcPr>
            <w:tcW w:w="963" w:type="dxa"/>
            <w:tcBorders>
              <w:top w:val="nil"/>
              <w:left w:val="nil"/>
              <w:bottom w:val="single" w:sz="4" w:space="0" w:color="auto"/>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18.7</w:t>
            </w:r>
          </w:p>
        </w:tc>
        <w:tc>
          <w:tcPr>
            <w:tcW w:w="394" w:type="dxa"/>
            <w:tcBorders>
              <w:top w:val="nil"/>
              <w:left w:val="nil"/>
              <w:bottom w:val="single" w:sz="4" w:space="0" w:color="auto"/>
              <w:right w:val="nil"/>
            </w:tcBorders>
            <w:noWrap/>
            <w:vAlign w:val="bottom"/>
          </w:tcPr>
          <w:p w:rsidR="005D727C" w:rsidRPr="009152F3" w:rsidRDefault="005D727C" w:rsidP="00C92E74">
            <w:pPr>
              <w:spacing w:after="0" w:line="240" w:lineRule="auto"/>
              <w:contextualSpacing/>
              <w:jc w:val="right"/>
              <w:rPr>
                <w:rFonts w:asciiTheme="majorBidi" w:hAnsiTheme="majorBidi" w:cs="Times New Roman"/>
                <w:color w:val="000000"/>
                <w:sz w:val="20"/>
                <w:szCs w:val="20"/>
              </w:rPr>
            </w:pPr>
          </w:p>
        </w:tc>
        <w:tc>
          <w:tcPr>
            <w:tcW w:w="488" w:type="dxa"/>
            <w:tcBorders>
              <w:top w:val="nil"/>
              <w:left w:val="nil"/>
              <w:bottom w:val="single" w:sz="4" w:space="0" w:color="auto"/>
              <w:right w:val="nil"/>
            </w:tcBorders>
            <w:noWrap/>
            <w:vAlign w:val="bottom"/>
          </w:tcPr>
          <w:p w:rsidR="005D727C" w:rsidRPr="009152F3" w:rsidRDefault="005D727C" w:rsidP="00C92E74">
            <w:pPr>
              <w:spacing w:after="0" w:line="240" w:lineRule="auto"/>
              <w:contextualSpacing/>
              <w:rPr>
                <w:rFonts w:asciiTheme="majorBidi" w:hAnsiTheme="majorBidi" w:cs="Times New Roman"/>
                <w:sz w:val="20"/>
                <w:szCs w:val="20"/>
              </w:rPr>
            </w:pPr>
          </w:p>
        </w:tc>
        <w:tc>
          <w:tcPr>
            <w:tcW w:w="2056" w:type="dxa"/>
            <w:tcBorders>
              <w:top w:val="nil"/>
              <w:left w:val="nil"/>
              <w:bottom w:val="single" w:sz="4" w:space="0" w:color="auto"/>
              <w:right w:val="nil"/>
            </w:tcBorders>
            <w:noWrap/>
            <w:vAlign w:val="bottom"/>
          </w:tcPr>
          <w:p w:rsidR="005D727C" w:rsidRPr="005773F4" w:rsidRDefault="005D727C" w:rsidP="00C92E74">
            <w:pPr>
              <w:spacing w:after="0" w:line="240" w:lineRule="auto"/>
              <w:contextualSpacing/>
              <w:rPr>
                <w:rFonts w:asciiTheme="majorBidi" w:hAnsiTheme="majorBidi" w:cs="Times New Roman"/>
                <w:color w:val="000000"/>
                <w:sz w:val="20"/>
                <w:szCs w:val="20"/>
              </w:rPr>
            </w:pPr>
            <w:r w:rsidRPr="005773F4">
              <w:rPr>
                <w:rFonts w:asciiTheme="majorBidi" w:hAnsiTheme="majorBidi" w:cs="Times New Roman"/>
                <w:color w:val="000000"/>
                <w:sz w:val="20"/>
                <w:szCs w:val="20"/>
              </w:rPr>
              <w:t>OECD</w:t>
            </w:r>
          </w:p>
        </w:tc>
        <w:tc>
          <w:tcPr>
            <w:tcW w:w="1468" w:type="dxa"/>
            <w:tcBorders>
              <w:top w:val="nil"/>
              <w:left w:val="nil"/>
              <w:bottom w:val="single" w:sz="4" w:space="0" w:color="auto"/>
              <w:right w:val="nil"/>
            </w:tcBorders>
            <w:noWrap/>
            <w:vAlign w:val="bottom"/>
          </w:tcPr>
          <w:p w:rsidR="005D727C" w:rsidRPr="009152F3" w:rsidRDefault="005D727C" w:rsidP="00C92E74">
            <w:pPr>
              <w:spacing w:after="0" w:line="240" w:lineRule="auto"/>
              <w:contextualSpacing/>
              <w:jc w:val="center"/>
              <w:rPr>
                <w:rFonts w:asciiTheme="majorBidi" w:hAnsiTheme="majorBidi" w:cs="Times New Roman"/>
                <w:color w:val="000000"/>
                <w:sz w:val="20"/>
                <w:szCs w:val="20"/>
              </w:rPr>
            </w:pPr>
            <w:r w:rsidRPr="009152F3">
              <w:rPr>
                <w:rFonts w:asciiTheme="majorBidi" w:hAnsiTheme="majorBidi" w:cs="Times New Roman"/>
                <w:color w:val="000000"/>
                <w:sz w:val="20"/>
                <w:szCs w:val="20"/>
              </w:rPr>
              <w:t>38.92</w:t>
            </w:r>
          </w:p>
        </w:tc>
      </w:tr>
    </w:tbl>
    <w:p w:rsidR="005D727C" w:rsidRPr="00825B39" w:rsidRDefault="005D727C" w:rsidP="005D727C">
      <w:pPr>
        <w:spacing w:before="240" w:line="240" w:lineRule="auto"/>
        <w:ind w:right="360"/>
        <w:contextualSpacing/>
        <w:jc w:val="both"/>
        <w:rPr>
          <w:i/>
          <w:iCs/>
          <w:color w:val="000000" w:themeColor="text1"/>
          <w:sz w:val="18"/>
          <w:szCs w:val="18"/>
        </w:rPr>
      </w:pPr>
      <w:r w:rsidRPr="00825B39">
        <w:rPr>
          <w:i/>
          <w:iCs/>
          <w:color w:val="000000" w:themeColor="text1"/>
          <w:sz w:val="18"/>
          <w:szCs w:val="18"/>
        </w:rPr>
        <w:t xml:space="preserve"> Source: </w:t>
      </w:r>
      <w:r w:rsidRPr="00825B39">
        <w:rPr>
          <w:rFonts w:asciiTheme="majorBidi" w:hAnsiTheme="majorBidi" w:cs="Times New Roman"/>
          <w:i/>
          <w:iCs/>
          <w:color w:val="000000" w:themeColor="text1"/>
          <w:sz w:val="18"/>
          <w:szCs w:val="18"/>
        </w:rPr>
        <w:t>Authors calculations using ITC database</w:t>
      </w:r>
    </w:p>
    <w:p w:rsidR="00B33B41" w:rsidRPr="00843058" w:rsidRDefault="00843058" w:rsidP="00747233">
      <w:pPr>
        <w:pStyle w:val="Heading1"/>
        <w:spacing w:after="120"/>
        <w:rPr>
          <w:rFonts w:asciiTheme="majorBidi" w:hAnsiTheme="majorBidi"/>
          <w:b/>
          <w:bCs/>
          <w:i/>
          <w:iCs/>
          <w:sz w:val="24"/>
          <w:szCs w:val="24"/>
        </w:rPr>
      </w:pPr>
      <w:bookmarkStart w:id="6" w:name="_Toc516749397"/>
      <w:r>
        <w:rPr>
          <w:rFonts w:asciiTheme="majorBidi" w:hAnsiTheme="majorBidi"/>
          <w:b/>
          <w:bCs/>
          <w:i/>
          <w:iCs/>
          <w:sz w:val="24"/>
          <w:szCs w:val="24"/>
        </w:rPr>
        <w:t>V</w:t>
      </w:r>
      <w:r>
        <w:rPr>
          <w:rFonts w:asciiTheme="majorBidi" w:hAnsiTheme="majorBidi"/>
          <w:b/>
          <w:bCs/>
          <w:i/>
          <w:iCs/>
          <w:sz w:val="24"/>
          <w:szCs w:val="24"/>
        </w:rPr>
        <w:tab/>
      </w:r>
      <w:r w:rsidRPr="00843058">
        <w:rPr>
          <w:rFonts w:asciiTheme="majorBidi" w:hAnsiTheme="majorBidi"/>
          <w:b/>
          <w:bCs/>
          <w:i/>
          <w:iCs/>
          <w:sz w:val="24"/>
          <w:szCs w:val="24"/>
        </w:rPr>
        <w:t>Model Specification</w:t>
      </w:r>
      <w:bookmarkEnd w:id="6"/>
    </w:p>
    <w:p w:rsidR="00B33B41" w:rsidRPr="00A16570" w:rsidRDefault="00411A2B" w:rsidP="00411A2B">
      <w:pPr>
        <w:spacing w:after="240" w:line="360" w:lineRule="auto"/>
        <w:ind w:right="360"/>
        <w:jc w:val="both"/>
        <w:rPr>
          <w:rFonts w:ascii="Times New Roman" w:hAnsi="Times New Roman" w:cs="Times New Roman"/>
          <w:sz w:val="24"/>
          <w:szCs w:val="24"/>
        </w:rPr>
      </w:pPr>
      <w:r>
        <w:rPr>
          <w:rFonts w:ascii="Times New Roman" w:hAnsi="Times New Roman" w:cs="Times New Roman"/>
          <w:sz w:val="24"/>
          <w:szCs w:val="24"/>
        </w:rPr>
        <w:t>T</w:t>
      </w:r>
      <w:r w:rsidR="00B33B41">
        <w:rPr>
          <w:rFonts w:ascii="Times New Roman" w:hAnsi="Times New Roman" w:cs="Times New Roman"/>
          <w:sz w:val="24"/>
          <w:szCs w:val="24"/>
        </w:rPr>
        <w:t xml:space="preserve">he gravity model finds it origin from physics using Newton’s law of gravitation and it states that the volume of bilateral trade is directly proportional to the sizes (GDP) of countries and inversely proportional to the trade resistance (distance). </w:t>
      </w:r>
      <w:r w:rsidR="00FE3916">
        <w:rPr>
          <w:rFonts w:ascii="Times New Roman" w:hAnsi="Times New Roman" w:cs="Times New Roman"/>
          <w:sz w:val="24"/>
          <w:szCs w:val="24"/>
        </w:rPr>
        <w:t xml:space="preserve">The </w:t>
      </w:r>
      <w:r w:rsidR="00B33B41">
        <w:rPr>
          <w:rFonts w:ascii="Times New Roman" w:hAnsi="Times New Roman" w:cs="Times New Roman"/>
          <w:sz w:val="24"/>
          <w:szCs w:val="24"/>
        </w:rPr>
        <w:t xml:space="preserve">model has been </w:t>
      </w:r>
      <w:r w:rsidR="00FE3916">
        <w:rPr>
          <w:rFonts w:ascii="Times New Roman" w:hAnsi="Times New Roman" w:cs="Times New Roman"/>
          <w:sz w:val="24"/>
          <w:szCs w:val="24"/>
        </w:rPr>
        <w:t xml:space="preserve">empirically used </w:t>
      </w:r>
      <w:r w:rsidR="00B33B41">
        <w:rPr>
          <w:rFonts w:ascii="Times New Roman" w:hAnsi="Times New Roman" w:cs="Times New Roman"/>
          <w:sz w:val="24"/>
          <w:szCs w:val="24"/>
        </w:rPr>
        <w:t xml:space="preserve">in </w:t>
      </w:r>
      <w:r w:rsidR="00FE3916">
        <w:rPr>
          <w:rFonts w:ascii="Times New Roman" w:hAnsi="Times New Roman" w:cs="Times New Roman"/>
          <w:sz w:val="24"/>
          <w:szCs w:val="24"/>
        </w:rPr>
        <w:t>various contexts including trade</w:t>
      </w:r>
      <w:r w:rsidR="00B33B41">
        <w:rPr>
          <w:rFonts w:ascii="Times New Roman" w:hAnsi="Times New Roman" w:cs="Times New Roman"/>
          <w:sz w:val="24"/>
          <w:szCs w:val="24"/>
        </w:rPr>
        <w:t xml:space="preserve"> integration, trade liberalization</w:t>
      </w:r>
      <w:r w:rsidR="00B33B41" w:rsidRPr="00942934">
        <w:rPr>
          <w:rFonts w:ascii="Times New Roman" w:hAnsi="Times New Roman" w:cs="Times New Roman"/>
          <w:sz w:val="24"/>
          <w:szCs w:val="24"/>
        </w:rPr>
        <w:t>, currency unions,</w:t>
      </w:r>
      <w:r w:rsidR="00B33B41">
        <w:rPr>
          <w:rFonts w:ascii="Times New Roman" w:hAnsi="Times New Roman" w:cs="Times New Roman"/>
          <w:sz w:val="24"/>
          <w:szCs w:val="24"/>
        </w:rPr>
        <w:t xml:space="preserve"> migration, water trade</w:t>
      </w:r>
      <w:r w:rsidR="00B33B41" w:rsidRPr="00942934">
        <w:rPr>
          <w:rFonts w:ascii="Times New Roman" w:hAnsi="Times New Roman" w:cs="Times New Roman"/>
          <w:sz w:val="24"/>
          <w:szCs w:val="24"/>
        </w:rPr>
        <w:t xml:space="preserve"> and </w:t>
      </w:r>
      <w:r w:rsidR="00B33B41">
        <w:rPr>
          <w:rFonts w:ascii="Times New Roman" w:hAnsi="Times New Roman" w:cs="Times New Roman"/>
          <w:sz w:val="24"/>
          <w:szCs w:val="24"/>
        </w:rPr>
        <w:t>home-market effects.</w:t>
      </w:r>
      <w:r w:rsidR="000211E1" w:rsidRPr="000211E1">
        <w:t xml:space="preserve"> </w:t>
      </w:r>
      <w:r w:rsidR="000211E1" w:rsidRPr="000211E1">
        <w:rPr>
          <w:rFonts w:ascii="Times New Roman" w:hAnsi="Times New Roman" w:cs="Times New Roman"/>
          <w:sz w:val="24"/>
          <w:szCs w:val="24"/>
        </w:rPr>
        <w:t>The model specification builds on the traditional gravity model as developed by</w:t>
      </w:r>
      <w:r w:rsidR="007D7CDF">
        <w:rPr>
          <w:rFonts w:ascii="Times New Roman" w:hAnsi="Times New Roman" w:cs="Times New Roman"/>
          <w:sz w:val="24"/>
          <w:szCs w:val="24"/>
        </w:rPr>
        <w:t xml:space="preserve"> </w:t>
      </w:r>
      <w:r w:rsidR="007D7CDF">
        <w:rPr>
          <w:rFonts w:ascii="Times New Roman" w:hAnsi="Times New Roman" w:cs="Times New Roman"/>
          <w:sz w:val="24"/>
          <w:szCs w:val="24"/>
        </w:rPr>
        <w:lastRenderedPageBreak/>
        <w:fldChar w:fldCharType="begin" w:fldLock="1"/>
      </w:r>
      <w:r w:rsidR="007D7CDF">
        <w:rPr>
          <w:rFonts w:ascii="Times New Roman" w:hAnsi="Times New Roman" w:cs="Times New Roman"/>
          <w:sz w:val="24"/>
          <w:szCs w:val="24"/>
        </w:rPr>
        <w:instrText>ADDIN CSL_CITATION {"citationItems":[{"id":"ITEM-1","itemData":{"author":[{"dropping-particle":"","family":"Tinbergen","given":"J.","non-dropping-particle":"","parse-names":false,"suffix":""}],"container-title":"Economic Journal","id":"ITEM-1","issued":{"date-parts":[["1962"]]},"title":"Shaping the World Economy: Suggestions for an International Economic Policy","type":"article-journal"},"uris":["http://www.mendeley.com/documents/?uuid=6efa0e2d-767b-4931-8601-56561fbe8531"]}],"mendeley":{"formattedCitation":"(Tinbergen, 1962)","manualFormatting":"Tinbergen (1962)","plainTextFormattedCitation":"(Tinbergen, 1962)","previouslyFormattedCitation":"(Tinbergen, 1962)"},"properties":{"noteIndex":0},"schema":"https://github.com/citation-style-language/schema/raw/master/csl-citation.json"}</w:instrText>
      </w:r>
      <w:r w:rsidR="007D7CDF">
        <w:rPr>
          <w:rFonts w:ascii="Times New Roman" w:hAnsi="Times New Roman" w:cs="Times New Roman"/>
          <w:sz w:val="24"/>
          <w:szCs w:val="24"/>
        </w:rPr>
        <w:fldChar w:fldCharType="separate"/>
      </w:r>
      <w:r w:rsidR="007D7CDF" w:rsidRPr="007D7CDF">
        <w:rPr>
          <w:rFonts w:ascii="Times New Roman" w:hAnsi="Times New Roman" w:cs="Times New Roman"/>
          <w:sz w:val="24"/>
          <w:szCs w:val="24"/>
        </w:rPr>
        <w:t xml:space="preserve">Tinbergen </w:t>
      </w:r>
      <w:r w:rsidR="007D7CDF">
        <w:rPr>
          <w:rFonts w:ascii="Times New Roman" w:hAnsi="Times New Roman" w:cs="Times New Roman"/>
          <w:sz w:val="24"/>
          <w:szCs w:val="24"/>
        </w:rPr>
        <w:t>(</w:t>
      </w:r>
      <w:r w:rsidR="007D7CDF" w:rsidRPr="007D7CDF">
        <w:rPr>
          <w:rFonts w:ascii="Times New Roman" w:hAnsi="Times New Roman" w:cs="Times New Roman"/>
          <w:sz w:val="24"/>
          <w:szCs w:val="24"/>
        </w:rPr>
        <w:t>1962)</w:t>
      </w:r>
      <w:r w:rsidR="007D7CDF">
        <w:rPr>
          <w:rFonts w:ascii="Times New Roman" w:hAnsi="Times New Roman" w:cs="Times New Roman"/>
          <w:sz w:val="24"/>
          <w:szCs w:val="24"/>
        </w:rPr>
        <w:fldChar w:fldCharType="end"/>
      </w:r>
      <w:r w:rsidR="000211E1" w:rsidRPr="000211E1">
        <w:rPr>
          <w:rFonts w:ascii="Times New Roman" w:hAnsi="Times New Roman" w:cs="Times New Roman"/>
          <w:sz w:val="24"/>
          <w:szCs w:val="24"/>
        </w:rPr>
        <w:t xml:space="preserve"> and </w:t>
      </w:r>
      <w:r w:rsidR="007D7CDF">
        <w:rPr>
          <w:rFonts w:ascii="Times New Roman" w:hAnsi="Times New Roman" w:cs="Times New Roman"/>
          <w:sz w:val="24"/>
          <w:szCs w:val="24"/>
        </w:rPr>
        <w:fldChar w:fldCharType="begin" w:fldLock="1"/>
      </w:r>
      <w:r w:rsidR="00185920">
        <w:rPr>
          <w:rFonts w:ascii="Times New Roman" w:hAnsi="Times New Roman" w:cs="Times New Roman"/>
          <w:sz w:val="24"/>
          <w:szCs w:val="24"/>
        </w:rPr>
        <w:instrText>ADDIN CSL_CITATION {"citationItems":[{"id":"ITEM-1","itemData":{"author":[{"dropping-particle":"","family":"Linnemann","given":"H.","non-dropping-particle":"","parse-names":false,"suffix":""}],"id":"ITEM-1","issued":{"date-parts":[["1966"]]},"publisher":"North-Holland Publishing","publisher-place":"Amsterdam","title":"An econometric study of international trade flows","type":"book"},"uris":["http://www.mendeley.com/documents/?uuid=5bb4b796-203c-338f-a4f9-ee6b931d98b5"]}],"mendeley":{"formattedCitation":"(Linnemann, 1966)","manualFormatting":"Linnemann (1966)","plainTextFormattedCitation":"(Linnemann, 1966)","previouslyFormattedCitation":"(Linnemann, 1966)"},"properties":{"noteIndex":0},"schema":"https://github.com/citation-style-language/schema/raw/master/csl-citation.json"}</w:instrText>
      </w:r>
      <w:r w:rsidR="007D7CDF">
        <w:rPr>
          <w:rFonts w:ascii="Times New Roman" w:hAnsi="Times New Roman" w:cs="Times New Roman"/>
          <w:sz w:val="24"/>
          <w:szCs w:val="24"/>
        </w:rPr>
        <w:fldChar w:fldCharType="separate"/>
      </w:r>
      <w:r w:rsidR="007D7CDF" w:rsidRPr="007D7CDF">
        <w:rPr>
          <w:rFonts w:ascii="Times New Roman" w:hAnsi="Times New Roman" w:cs="Times New Roman"/>
          <w:sz w:val="24"/>
          <w:szCs w:val="24"/>
        </w:rPr>
        <w:t xml:space="preserve">Linnemann </w:t>
      </w:r>
      <w:r w:rsidR="007D7CDF">
        <w:rPr>
          <w:rFonts w:ascii="Times New Roman" w:hAnsi="Times New Roman" w:cs="Times New Roman"/>
          <w:sz w:val="24"/>
          <w:szCs w:val="24"/>
        </w:rPr>
        <w:t>(</w:t>
      </w:r>
      <w:r w:rsidR="007D7CDF" w:rsidRPr="007D7CDF">
        <w:rPr>
          <w:rFonts w:ascii="Times New Roman" w:hAnsi="Times New Roman" w:cs="Times New Roman"/>
          <w:sz w:val="24"/>
          <w:szCs w:val="24"/>
        </w:rPr>
        <w:t>1966)</w:t>
      </w:r>
      <w:r w:rsidR="007D7CDF">
        <w:rPr>
          <w:rFonts w:ascii="Times New Roman" w:hAnsi="Times New Roman" w:cs="Times New Roman"/>
          <w:sz w:val="24"/>
          <w:szCs w:val="24"/>
        </w:rPr>
        <w:fldChar w:fldCharType="end"/>
      </w:r>
      <w:r w:rsidR="00B33B41">
        <w:rPr>
          <w:rFonts w:ascii="Times New Roman" w:hAnsi="Times New Roman" w:cs="Times New Roman"/>
          <w:sz w:val="24"/>
          <w:szCs w:val="24"/>
        </w:rPr>
        <w:t xml:space="preserve"> </w:t>
      </w:r>
      <w:r w:rsidR="00FE3916">
        <w:rPr>
          <w:rFonts w:ascii="Times New Roman" w:hAnsi="Times New Roman" w:cs="Times New Roman"/>
          <w:sz w:val="24"/>
          <w:szCs w:val="24"/>
        </w:rPr>
        <w:t>a</w:t>
      </w:r>
      <w:r w:rsidR="00D92A7F">
        <w:rPr>
          <w:rFonts w:ascii="Times New Roman" w:hAnsi="Times New Roman" w:cs="Times New Roman"/>
          <w:sz w:val="24"/>
          <w:szCs w:val="24"/>
        </w:rPr>
        <w:t>nd a</w:t>
      </w:r>
      <w:r w:rsidR="00B33B41">
        <w:rPr>
          <w:rFonts w:ascii="Times New Roman" w:hAnsi="Times New Roman" w:cs="Times New Roman"/>
          <w:sz w:val="24"/>
          <w:szCs w:val="24"/>
        </w:rPr>
        <w:t xml:space="preserve">ugmented </w:t>
      </w:r>
      <w:r w:rsidR="00FE3916">
        <w:rPr>
          <w:rFonts w:ascii="Times New Roman" w:hAnsi="Times New Roman" w:cs="Times New Roman"/>
          <w:sz w:val="24"/>
          <w:szCs w:val="24"/>
        </w:rPr>
        <w:t>with various economic snd structural variables as developed in the gravity literature.</w:t>
      </w:r>
      <w:r w:rsidR="00B33B41">
        <w:rPr>
          <w:rFonts w:ascii="Times New Roman" w:hAnsi="Times New Roman" w:cs="Times New Roman"/>
          <w:sz w:val="24"/>
          <w:szCs w:val="24"/>
        </w:rPr>
        <w:t xml:space="preserve"> This model takes into consideration the triple-index specification (three-way) which includes the effect of exporter, importer and time (business cycle) on the volume of bilateral trade as argued by </w:t>
      </w:r>
      <w:r w:rsidR="00B33B41">
        <w:rPr>
          <w:rFonts w:ascii="Times New Roman" w:hAnsi="Times New Roman" w:cs="Times New Roman"/>
          <w:sz w:val="24"/>
          <w:szCs w:val="24"/>
        </w:rPr>
        <w:fldChar w:fldCharType="begin" w:fldLock="1"/>
      </w:r>
      <w:r w:rsidR="00D92A7F">
        <w:rPr>
          <w:rFonts w:ascii="Times New Roman" w:hAnsi="Times New Roman" w:cs="Times New Roman"/>
          <w:sz w:val="24"/>
          <w:szCs w:val="24"/>
        </w:rPr>
        <w:instrText>ADDIN CSL_CITATION {"citationItems":[{"id":"ITEM-1","itemData":{"DOI":"10.1111/1467-9701.00074","ISBN":"1467-9701","ISSN":"0378-5920","author":[{"dropping-particle":"","family":"Matyas","given":"Laszlo","non-dropping-particle":"","parse-names":false,"suffix":""}],"container-title":"The World Economy","id":"ITEM-1","issue":"3","issued":{"date-parts":[["1997"]]},"page":"363-368","title":"Proper Econometric Specification of the Gravity Model","type":"article","volume":"20"},"uris":["http://www.mendeley.com/documents/?uuid=5108e500-f699-4a7e-b197-0e5e7e0958b5"]}],"mendeley":{"formattedCitation":"(Matyas, 1997)","manualFormatting":"Matyas (1997)","plainTextFormattedCitation":"(Matyas, 1997)","previouslyFormattedCitation":"(Matyas, 1997)"},"properties":{"noteIndex":0},"schema":"https://github.com/citation-style-language/schema/raw/master/csl-citation.json"}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sidRPr="002169E4">
        <w:rPr>
          <w:rFonts w:ascii="Times New Roman" w:hAnsi="Times New Roman" w:cs="Times New Roman"/>
          <w:sz w:val="24"/>
          <w:szCs w:val="24"/>
        </w:rPr>
        <w:t xml:space="preserve">Matyas </w:t>
      </w:r>
      <w:r w:rsidR="00B33B41">
        <w:rPr>
          <w:rFonts w:ascii="Times New Roman" w:hAnsi="Times New Roman" w:cs="Times New Roman"/>
          <w:sz w:val="24"/>
          <w:szCs w:val="24"/>
        </w:rPr>
        <w:t>(</w:t>
      </w:r>
      <w:r w:rsidR="00B33B41" w:rsidRPr="002169E4">
        <w:rPr>
          <w:rFonts w:ascii="Times New Roman" w:hAnsi="Times New Roman" w:cs="Times New Roman"/>
          <w:sz w:val="24"/>
          <w:szCs w:val="24"/>
        </w:rPr>
        <w:t>1997)</w:t>
      </w:r>
      <w:r w:rsidR="00B33B41">
        <w:rPr>
          <w:rFonts w:ascii="Times New Roman" w:hAnsi="Times New Roman" w:cs="Times New Roman"/>
          <w:sz w:val="24"/>
          <w:szCs w:val="24"/>
        </w:rPr>
        <w:fldChar w:fldCharType="end"/>
      </w:r>
      <w:r w:rsidR="00B33B41">
        <w:rPr>
          <w:rFonts w:ascii="Times New Roman" w:hAnsi="Times New Roman" w:cs="Times New Roman"/>
          <w:sz w:val="24"/>
          <w:szCs w:val="24"/>
        </w:rPr>
        <w:t xml:space="preserve">. </w:t>
      </w:r>
      <w:r w:rsidR="00B33B41" w:rsidRPr="003A4EB2">
        <w:rPr>
          <w:rFonts w:ascii="Times New Roman" w:hAnsi="Times New Roman" w:cs="Times New Roman"/>
          <w:sz w:val="24"/>
          <w:szCs w:val="24"/>
        </w:rPr>
        <w:t>The augmented structural grav</w:t>
      </w:r>
      <w:r>
        <w:rPr>
          <w:rFonts w:ascii="Times New Roman" w:hAnsi="Times New Roman" w:cs="Times New Roman"/>
          <w:sz w:val="24"/>
          <w:szCs w:val="24"/>
        </w:rPr>
        <w:t xml:space="preserve">ity model is </w:t>
      </w:r>
      <w:r w:rsidR="00A0621F">
        <w:rPr>
          <w:rFonts w:ascii="Times New Roman" w:hAnsi="Times New Roman" w:cs="Times New Roman"/>
          <w:sz w:val="24"/>
          <w:szCs w:val="24"/>
        </w:rPr>
        <w:t>estimated using the</w:t>
      </w:r>
      <w:r w:rsidR="00B33B41" w:rsidRPr="003A4EB2">
        <w:rPr>
          <w:rFonts w:ascii="Times New Roman" w:hAnsi="Times New Roman" w:cs="Times New Roman"/>
          <w:sz w:val="24"/>
          <w:szCs w:val="24"/>
        </w:rPr>
        <w:t xml:space="preserve"> PPML (Poisson Pseudo Maximum Likelihood) with MRT</w:t>
      </w:r>
      <w:r w:rsidRPr="003A4EB2">
        <w:rPr>
          <w:rFonts w:ascii="Times New Roman" w:hAnsi="Times New Roman" w:cs="Times New Roman"/>
          <w:sz w:val="24"/>
          <w:szCs w:val="24"/>
        </w:rPr>
        <w:t>(multilateral trade resistance terms)</w:t>
      </w:r>
      <w:r w:rsidR="00B33B41" w:rsidRPr="003A4EB2">
        <w:rPr>
          <w:rFonts w:ascii="Times New Roman" w:hAnsi="Times New Roman" w:cs="Times New Roman"/>
          <w:sz w:val="24"/>
          <w:szCs w:val="24"/>
        </w:rPr>
        <w:t xml:space="preserve"> and PPML with Fixed Effect (FE).</w:t>
      </w:r>
    </w:p>
    <w:p w:rsidR="00B33B41" w:rsidRPr="00843058" w:rsidRDefault="00B33B41" w:rsidP="00843058">
      <w:pPr>
        <w:pStyle w:val="Heading2"/>
        <w:numPr>
          <w:ilvl w:val="0"/>
          <w:numId w:val="16"/>
        </w:numPr>
        <w:spacing w:after="120"/>
        <w:rPr>
          <w:rFonts w:asciiTheme="majorBidi" w:hAnsiTheme="majorBidi"/>
          <w:b/>
          <w:bCs/>
          <w:i/>
          <w:iCs/>
          <w:sz w:val="24"/>
          <w:szCs w:val="24"/>
        </w:rPr>
      </w:pPr>
      <w:bookmarkStart w:id="7" w:name="_Toc516749398"/>
      <w:r w:rsidRPr="00843058">
        <w:rPr>
          <w:rFonts w:asciiTheme="majorBidi" w:hAnsiTheme="majorBidi"/>
          <w:b/>
          <w:bCs/>
          <w:i/>
          <w:iCs/>
          <w:sz w:val="24"/>
          <w:szCs w:val="24"/>
        </w:rPr>
        <w:t>Gravity Model Equation</w:t>
      </w:r>
      <w:bookmarkEnd w:id="7"/>
      <w:r w:rsidRPr="00843058">
        <w:rPr>
          <w:rFonts w:asciiTheme="majorBidi" w:hAnsiTheme="majorBidi"/>
          <w:b/>
          <w:bCs/>
          <w:i/>
          <w:iCs/>
          <w:sz w:val="24"/>
          <w:szCs w:val="24"/>
        </w:rPr>
        <w:t xml:space="preserve"> </w:t>
      </w:r>
    </w:p>
    <w:p w:rsidR="00424AB2" w:rsidRDefault="00B33B41" w:rsidP="00764BB3">
      <w:pPr>
        <w:spacing w:after="0" w:line="360" w:lineRule="auto"/>
        <w:ind w:right="360"/>
        <w:jc w:val="both"/>
        <w:rPr>
          <w:rFonts w:ascii="Times New Roman" w:hAnsi="Times New Roman" w:cs="Times New Roman"/>
          <w:bCs/>
          <w:sz w:val="24"/>
          <w:szCs w:val="24"/>
        </w:rPr>
      </w:pPr>
      <w:r w:rsidRPr="004D4693">
        <w:rPr>
          <w:rFonts w:ascii="Times New Roman" w:hAnsi="Times New Roman" w:cs="Times New Roman"/>
          <w:bCs/>
          <w:sz w:val="24"/>
          <w:szCs w:val="24"/>
        </w:rPr>
        <w:t xml:space="preserve">Considering various estimation issues, </w:t>
      </w:r>
      <w:r>
        <w:rPr>
          <w:rFonts w:ascii="Times New Roman" w:hAnsi="Times New Roman" w:cs="Times New Roman"/>
          <w:bCs/>
          <w:sz w:val="24"/>
          <w:szCs w:val="24"/>
        </w:rPr>
        <w:t>the</w:t>
      </w:r>
      <w:r w:rsidRPr="004D4693">
        <w:rPr>
          <w:rFonts w:ascii="Times New Roman" w:hAnsi="Times New Roman" w:cs="Times New Roman"/>
          <w:bCs/>
          <w:sz w:val="24"/>
          <w:szCs w:val="24"/>
        </w:rPr>
        <w:t xml:space="preserve"> augmented structural gravity model</w:t>
      </w:r>
      <w:r>
        <w:rPr>
          <w:rFonts w:ascii="Times New Roman" w:hAnsi="Times New Roman" w:cs="Times New Roman"/>
          <w:bCs/>
          <w:sz w:val="24"/>
          <w:szCs w:val="24"/>
        </w:rPr>
        <w:t xml:space="preserve"> used in this analysis</w:t>
      </w:r>
      <w:r w:rsidRPr="004D4693">
        <w:rPr>
          <w:rFonts w:ascii="Times New Roman" w:hAnsi="Times New Roman" w:cs="Times New Roman"/>
          <w:bCs/>
          <w:sz w:val="24"/>
          <w:szCs w:val="24"/>
        </w:rPr>
        <w:t xml:space="preserve"> is stated in its</w:t>
      </w:r>
      <w:r>
        <w:rPr>
          <w:rFonts w:ascii="Times New Roman" w:hAnsi="Times New Roman" w:cs="Times New Roman"/>
          <w:bCs/>
          <w:sz w:val="24"/>
          <w:szCs w:val="24"/>
        </w:rPr>
        <w:t xml:space="preserve"> natural logarithmic form as: </w:t>
      </w:r>
    </w:p>
    <w:p w:rsidR="00424AB2" w:rsidRPr="001C13F8" w:rsidRDefault="009B786B" w:rsidP="00424AB2">
      <w:pPr>
        <w:spacing w:after="0" w:line="360" w:lineRule="auto"/>
        <w:ind w:left="-540" w:right="360"/>
        <w:jc w:val="both"/>
        <w:rPr>
          <w:rFonts w:ascii="Times New Roman" w:eastAsiaTheme="minorEastAsia" w:hAnsi="Times New Roman" w:cs="Times New Roman"/>
        </w:rPr>
      </w:pPr>
      <m:oMathPara>
        <m:oMath>
          <m:sSub>
            <m:sSubPr>
              <m:ctrlPr>
                <w:rPr>
                  <w:rFonts w:ascii="Cambria Math" w:eastAsia="Times New Roman" w:hAnsi="Cambria Math" w:cs="Times New Roman"/>
                  <w:i/>
                </w:rPr>
              </m:ctrlPr>
            </m:sSubPr>
            <m:e>
              <m:eqArr>
                <m:eqArrPr>
                  <m:ctrlPr>
                    <w:rPr>
                      <w:rFonts w:ascii="Cambria Math" w:eastAsia="Times New Roman" w:hAnsi="Cambria Math" w:cs="Times New Roman"/>
                      <w:i/>
                    </w:rPr>
                  </m:ctrlPr>
                </m:eqArrPr>
                <m:e>
                  <m:r>
                    <w:rPr>
                      <w:rFonts w:ascii="Cambria Math" w:eastAsia="Times New Roman" w:hAnsi="Cambria Math" w:cs="Times New Roman"/>
                    </w:rPr>
                    <m:t xml:space="preserve">         </m:t>
                  </m:r>
                </m:e>
                <m:e>
                  <m:r>
                    <w:rPr>
                      <w:rFonts w:ascii="Cambria Math" w:eastAsia="Times New Roman" w:hAnsi="Cambria Math" w:cs="Times New Roman"/>
                    </w:rPr>
                    <m:t xml:space="preserve">  lnZ</m:t>
                  </m:r>
                </m:e>
              </m:eqArr>
            </m:e>
            <m:sub>
              <m:r>
                <w:rPr>
                  <w:rFonts w:ascii="Cambria Math" w:eastAsia="Times New Roman" w:hAnsi="Cambria Math" w:cs="Times New Roman"/>
                </w:rPr>
                <m:t>ijt</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0</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m:rPr>
                  <m:sty m:val="p"/>
                </m:rPr>
                <w:rPr>
                  <w:rFonts w:ascii="Cambria Math" w:eastAsia="Times New Roman" w:hAnsi="Cambria Math" w:cs="Times New Roman"/>
                </w:rPr>
                <m:t>ln⁡</m:t>
              </m:r>
              <m:r>
                <w:rPr>
                  <w:rFonts w:ascii="Cambria Math" w:eastAsia="Times New Roman" w:hAnsi="Cambria Math" w:cs="Times New Roman"/>
                </w:rPr>
                <m:t>(GDP</m:t>
              </m:r>
            </m:e>
            <m:sub>
              <m:r>
                <w:rPr>
                  <w:rFonts w:ascii="Cambria Math" w:eastAsia="Times New Roman" w:hAnsi="Cambria Math" w:cs="Times New Roman"/>
                </w:rPr>
                <m:t>it</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m:rPr>
                  <m:sty m:val="p"/>
                </m:rPr>
                <w:rPr>
                  <w:rFonts w:ascii="Cambria Math" w:eastAsia="Times New Roman" w:hAnsi="Cambria Math" w:cs="Times New Roman"/>
                </w:rPr>
                <m:t>ln⁡</m:t>
              </m:r>
              <m:r>
                <w:rPr>
                  <w:rFonts w:ascii="Cambria Math" w:eastAsia="Times New Roman" w:hAnsi="Cambria Math" w:cs="Times New Roman"/>
                </w:rPr>
                <m:t>(GDP</m:t>
              </m:r>
            </m:e>
            <m:sub>
              <m:r>
                <w:rPr>
                  <w:rFonts w:ascii="Cambria Math" w:eastAsia="Times New Roman" w:hAnsi="Cambria Math" w:cs="Times New Roman"/>
                </w:rPr>
                <m:t>jt</m:t>
              </m:r>
            </m:sub>
          </m:sSub>
          <m:r>
            <w:rPr>
              <w:rFonts w:ascii="Cambria Math" w:eastAsia="Times New Roman" w:hAnsi="Cambria Math" w:cs="Times New Roman"/>
            </w:rPr>
            <m:t>)+</m:t>
          </m:r>
          <m:sSub>
            <m:sSubPr>
              <m:ctrlPr>
                <w:rPr>
                  <w:rFonts w:ascii="Cambria Math" w:eastAsia="Times New Roman" w:hAnsi="Cambria Math" w:cs="Times New Roman"/>
                  <w:i/>
                </w:rPr>
              </m:ctrlPr>
            </m:sSubPr>
            <m:e>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3</m:t>
                  </m:r>
                </m:sub>
              </m:sSub>
              <m:r>
                <m:rPr>
                  <m:sty m:val="p"/>
                </m:rPr>
                <w:rPr>
                  <w:rFonts w:ascii="Cambria Math" w:eastAsia="Times New Roman" w:hAnsi="Cambria Math" w:cs="Times New Roman"/>
                </w:rPr>
                <m:t>ln⁡</m:t>
              </m:r>
              <m:r>
                <w:rPr>
                  <w:rFonts w:ascii="Cambria Math" w:eastAsia="Times New Roman" w:hAnsi="Cambria Math" w:cs="Times New Roman"/>
                </w:rPr>
                <m:t>(POP</m:t>
              </m:r>
            </m:e>
            <m:sub>
              <m:r>
                <w:rPr>
                  <w:rFonts w:ascii="Cambria Math" w:eastAsia="Times New Roman" w:hAnsi="Cambria Math" w:cs="Times New Roman"/>
                </w:rPr>
                <m:t>It</m:t>
              </m:r>
            </m:sub>
          </m:sSub>
          <m:r>
            <w:rPr>
              <w:rFonts w:ascii="Cambria Math" w:eastAsia="Times New Roman" w:hAnsi="Cambria Math" w:cs="Times New Roman"/>
            </w:rPr>
            <m:t>)+</m:t>
          </m:r>
          <m:sSub>
            <m:sSubPr>
              <m:ctrlPr>
                <w:rPr>
                  <w:rFonts w:ascii="Cambria Math" w:eastAsia="Times New Roman" w:hAnsi="Cambria Math" w:cs="Times New Roman"/>
                  <w:i/>
                </w:rPr>
              </m:ctrlPr>
            </m:sSubPr>
            <m:e>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4</m:t>
                  </m:r>
                </m:sub>
              </m:sSub>
              <m:r>
                <m:rPr>
                  <m:sty m:val="p"/>
                </m:rPr>
                <w:rPr>
                  <w:rFonts w:ascii="Cambria Math" w:eastAsia="Times New Roman" w:hAnsi="Cambria Math" w:cs="Times New Roman"/>
                </w:rPr>
                <m:t>ln⁡</m:t>
              </m:r>
              <m:r>
                <w:rPr>
                  <w:rFonts w:ascii="Cambria Math" w:eastAsia="Times New Roman" w:hAnsi="Cambria Math" w:cs="Times New Roman"/>
                </w:rPr>
                <m:t>(POP</m:t>
              </m:r>
            </m:e>
            <m:sub>
              <m:r>
                <w:rPr>
                  <w:rFonts w:ascii="Cambria Math" w:eastAsia="Times New Roman" w:hAnsi="Cambria Math" w:cs="Times New Roman"/>
                </w:rPr>
                <m:t>jt</m:t>
              </m:r>
            </m:sub>
          </m:sSub>
          <m:r>
            <w:rPr>
              <w:rFonts w:ascii="Cambria Math" w:eastAsia="Times New Roman" w:hAnsi="Cambria Math" w:cs="Times New Roman"/>
            </w:rPr>
            <m:t>)</m:t>
          </m:r>
        </m:oMath>
      </m:oMathPara>
    </w:p>
    <w:p w:rsidR="00B33B41" w:rsidRPr="00424AB2" w:rsidRDefault="009B786B" w:rsidP="00424AB2">
      <w:pPr>
        <w:spacing w:after="0" w:line="360" w:lineRule="auto"/>
        <w:ind w:left="990" w:right="360" w:firstLine="180"/>
        <w:jc w:val="mediumKashida"/>
        <w:rPr>
          <w:rFonts w:ascii="Times New Roman" w:eastAsiaTheme="minorEastAsia" w:hAnsi="Times New Roman" w:cs="Times New Roman"/>
        </w:rPr>
      </w:pPr>
      <m:oMathPara>
        <m:oMath>
          <m:sSub>
            <m:sSubPr>
              <m:ctrlPr>
                <w:rPr>
                  <w:rFonts w:ascii="Cambria Math" w:hAnsi="Cambria Math"/>
                  <w:i/>
                </w:rPr>
              </m:ctrlPr>
            </m:sSubPr>
            <m:e>
              <m:r>
                <w:rPr>
                  <w:rFonts w:ascii="Cambria Math" w:hAnsi="Cambria Math"/>
                </w:rPr>
                <m:t>+  a</m:t>
              </m:r>
            </m:e>
            <m:sub>
              <m:r>
                <w:rPr>
                  <w:rFonts w:ascii="Cambria Math" w:hAnsi="Cambria Math"/>
                </w:rPr>
                <m:t>5</m:t>
              </m:r>
            </m:sub>
          </m:sSub>
          <m:sSub>
            <m:sSubPr>
              <m:ctrlPr>
                <w:rPr>
                  <w:rFonts w:ascii="Cambria Math" w:hAnsi="Cambria Math"/>
                  <w:i/>
                </w:rPr>
              </m:ctrlPr>
            </m:sSubPr>
            <m:e>
              <m:r>
                <m:rPr>
                  <m:sty m:val="p"/>
                </m:rPr>
                <w:rPr>
                  <w:rFonts w:ascii="Cambria Math" w:hAnsi="Cambria Math"/>
                </w:rPr>
                <m:t>ln⁡</m:t>
              </m:r>
              <m:r>
                <w:rPr>
                  <w:rFonts w:ascii="Cambria Math" w:hAnsi="Cambria Math"/>
                </w:rPr>
                <m:t xml:space="preserve">(REM_EXP </m:t>
              </m:r>
            </m:e>
            <m:sub>
              <m:r>
                <w:rPr>
                  <w:rFonts w:ascii="Cambria Math" w:hAnsi="Cambria Math"/>
                </w:rPr>
                <m:t>it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6</m:t>
                  </m:r>
                </m:sub>
              </m:sSub>
              <m:r>
                <m:rPr>
                  <m:sty m:val="p"/>
                </m:rPr>
                <w:rPr>
                  <w:rFonts w:ascii="Cambria Math" w:hAnsi="Cambria Math"/>
                </w:rPr>
                <m:t>ln⁡</m:t>
              </m:r>
              <m:r>
                <w:rPr>
                  <w:rFonts w:ascii="Cambria Math" w:hAnsi="Cambria Math"/>
                </w:rPr>
                <m:t>(</m:t>
              </m:r>
              <m:sSub>
                <m:sSubPr>
                  <m:ctrlPr>
                    <w:rPr>
                      <w:rFonts w:ascii="Cambria Math" w:hAnsi="Cambria Math"/>
                    </w:rPr>
                  </m:ctrlPr>
                </m:sSubPr>
                <m:e>
                  <m:r>
                    <m:rPr>
                      <m:sty m:val="p"/>
                    </m:rPr>
                    <w:rPr>
                      <w:rFonts w:ascii="Cambria Math" w:hAnsi="Cambria Math"/>
                    </w:rPr>
                    <m:t>REM</m:t>
                  </m:r>
                  <m:ctrlPr>
                    <w:rPr>
                      <w:rFonts w:ascii="Cambria Math" w:hAnsi="Cambria Math"/>
                      <w:i/>
                    </w:rPr>
                  </m:ctrlPr>
                </m:e>
                <m:sub>
                  <m:r>
                    <m:rPr>
                      <m:sty m:val="p"/>
                    </m:rPr>
                    <w:rPr>
                      <w:rFonts w:ascii="Cambria Math" w:hAnsi="Cambria Math"/>
                    </w:rPr>
                    <m:t>IMP</m:t>
                  </m:r>
                </m:sub>
              </m:sSub>
            </m:e>
            <m:sub>
              <m:r>
                <w:rPr>
                  <w:rFonts w:ascii="Cambria Math" w:hAnsi="Cambria Math"/>
                </w:rPr>
                <m:t>jt</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 xml:space="preserve">  a</m:t>
                  </m:r>
                </m:e>
                <m:sub>
                  <m:r>
                    <w:rPr>
                      <w:rFonts w:ascii="Cambria Math" w:hAnsi="Cambria Math"/>
                    </w:rPr>
                    <m:t>7</m:t>
                  </m:r>
                </m:sub>
              </m:sSub>
              <m:r>
                <m:rPr>
                  <m:sty m:val="p"/>
                </m:rPr>
                <w:rPr>
                  <w:rFonts w:ascii="Cambria Math" w:hAnsi="Cambria Math"/>
                </w:rPr>
                <m:t>ln⁡</m:t>
              </m:r>
              <m:r>
                <w:rPr>
                  <w:rFonts w:ascii="Cambria Math" w:hAnsi="Cambria Math"/>
                </w:rPr>
                <m:t>(DIST</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8</m:t>
              </m:r>
            </m:sub>
          </m:sSub>
          <m:sSub>
            <m:sSubPr>
              <m:ctrlPr>
                <w:rPr>
                  <w:rFonts w:ascii="Cambria Math" w:hAnsi="Cambria Math"/>
                  <w:i/>
                </w:rPr>
              </m:ctrlPr>
            </m:sSubPr>
            <m:e>
              <m:sSub>
                <m:sSubPr>
                  <m:ctrlPr>
                    <w:rPr>
                      <w:rFonts w:ascii="Cambria Math" w:hAnsi="Cambria Math"/>
                      <w:i/>
                    </w:rPr>
                  </m:ctrlPr>
                </m:sSubPr>
                <m:e>
                  <m:r>
                    <w:rPr>
                      <w:rFonts w:ascii="Cambria Math" w:hAnsi="Cambria Math"/>
                    </w:rPr>
                    <m:t>(COMB</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9</m:t>
                  </m:r>
                </m:sub>
              </m:sSub>
              <m:sSub>
                <m:sSubPr>
                  <m:ctrlPr>
                    <w:rPr>
                      <w:rFonts w:ascii="Cambria Math" w:hAnsi="Cambria Math"/>
                      <w:i/>
                    </w:rPr>
                  </m:ctrlPr>
                </m:sSubPr>
                <m:e>
                  <m:r>
                    <w:rPr>
                      <w:rFonts w:ascii="Cambria Math" w:hAnsi="Cambria Math"/>
                    </w:rPr>
                    <m:t>(COML</m:t>
                  </m:r>
                </m:e>
                <m:sub>
                  <m:r>
                    <w:rPr>
                      <w:rFonts w:ascii="Cambria Math" w:hAnsi="Cambria Math"/>
                    </w:rPr>
                    <m:t>ij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 xml:space="preserve">  a</m:t>
                      </m:r>
                    </m:e>
                    <m:sub>
                      <m:r>
                        <w:rPr>
                          <w:rFonts w:ascii="Cambria Math" w:hAnsi="Cambria Math"/>
                        </w:rPr>
                        <m:t>10</m:t>
                      </m:r>
                    </m:sub>
                  </m:sSub>
                  <m:r>
                    <w:rPr>
                      <w:rFonts w:ascii="Cambria Math" w:hAnsi="Cambria Math"/>
                    </w:rPr>
                    <m:t>(COMCOL</m:t>
                  </m:r>
                </m:e>
                <m:sub>
                  <m:r>
                    <w:rPr>
                      <w:rFonts w:ascii="Cambria Math" w:hAnsi="Cambria Math"/>
                    </w:rPr>
                    <m:t>ij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 xml:space="preserve">  a</m:t>
                      </m:r>
                    </m:e>
                    <m:sub>
                      <m:r>
                        <w:rPr>
                          <w:rFonts w:ascii="Cambria Math" w:hAnsi="Cambria Math"/>
                        </w:rPr>
                        <m:t>11</m:t>
                      </m:r>
                    </m:sub>
                  </m:sSub>
                  <m:r>
                    <w:rPr>
                      <w:rFonts w:ascii="Cambria Math" w:hAnsi="Cambria Math"/>
                    </w:rPr>
                    <m:t>(COL</m:t>
                  </m:r>
                </m:e>
                <m:sub>
                  <m:r>
                    <w:rPr>
                      <w:rFonts w:ascii="Cambria Math" w:hAnsi="Cambria Math"/>
                    </w:rPr>
                    <m:t>ij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 xml:space="preserve"> a</m:t>
                      </m:r>
                    </m:e>
                    <m:sub>
                      <m:r>
                        <w:rPr>
                          <w:rFonts w:ascii="Cambria Math" w:hAnsi="Cambria Math"/>
                        </w:rPr>
                        <m:t>12</m:t>
                      </m:r>
                    </m:sub>
                  </m:sSub>
                  <m:r>
                    <m:rPr>
                      <m:sty m:val="p"/>
                    </m:rPr>
                    <w:rPr>
                      <w:rFonts w:ascii="Cambria Math" w:hAnsi="Cambria Math"/>
                    </w:rPr>
                    <m:t>⁡</m:t>
                  </m:r>
                  <m:r>
                    <w:rPr>
                      <w:rFonts w:ascii="Cambria Math" w:hAnsi="Cambria Math"/>
                    </w:rPr>
                    <m:t>( DIORA</m:t>
                  </m:r>
                </m:e>
                <m:sub>
                  <m:r>
                    <w:rPr>
                      <w:rFonts w:ascii="Cambria Math" w:hAnsi="Cambria Math"/>
                    </w:rPr>
                    <m:t>ij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a</m:t>
                      </m:r>
                    </m:e>
                    <m:sub>
                      <m:r>
                        <w:rPr>
                          <w:rFonts w:ascii="Cambria Math" w:hAnsi="Cambria Math"/>
                        </w:rPr>
                        <m:t>13</m:t>
                      </m:r>
                    </m:sub>
                  </m:sSub>
                  <m:r>
                    <m:rPr>
                      <m:sty m:val="p"/>
                    </m:rPr>
                    <w:rPr>
                      <w:rFonts w:ascii="Cambria Math" w:hAnsi="Cambria Math"/>
                    </w:rPr>
                    <m:t>⁡</m:t>
                  </m:r>
                  <m:r>
                    <w:rPr>
                      <w:rFonts w:ascii="Cambria Math" w:hAnsi="Cambria Math"/>
                    </w:rPr>
                    <m:t>(DIORAX</m:t>
                  </m:r>
                </m:e>
                <m:sub>
                  <m:r>
                    <w:rPr>
                      <w:rFonts w:ascii="Cambria Math" w:hAnsi="Cambria Math"/>
                    </w:rPr>
                    <m:t>ij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 a</m:t>
                      </m:r>
                    </m:e>
                    <m:sub>
                      <m:r>
                        <w:rPr>
                          <w:rFonts w:ascii="Cambria Math" w:hAnsi="Cambria Math"/>
                        </w:rPr>
                        <m:t>14</m:t>
                      </m:r>
                    </m:sub>
                  </m:sSub>
                  <m:r>
                    <m:rPr>
                      <m:sty m:val="p"/>
                    </m:rPr>
                    <w:rPr>
                      <w:rFonts w:ascii="Cambria Math" w:hAnsi="Cambria Math"/>
                    </w:rPr>
                    <m:t>⁡</m:t>
                  </m:r>
                  <m:r>
                    <w:rPr>
                      <w:rFonts w:ascii="Cambria Math" w:hAnsi="Cambria Math"/>
                    </w:rPr>
                    <m:t>(IORGCC</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 xml:space="preserve"> a</m:t>
                  </m:r>
                </m:e>
                <m:sub>
                  <m:r>
                    <w:rPr>
                      <w:rFonts w:ascii="Cambria Math" w:hAnsi="Cambria Math"/>
                    </w:rPr>
                    <m:t>15</m:t>
                  </m:r>
                </m:sub>
              </m:sSub>
              <m:sSub>
                <m:sSubPr>
                  <m:ctrlPr>
                    <w:rPr>
                      <w:rFonts w:ascii="Cambria Math" w:hAnsi="Cambria Math"/>
                      <w:i/>
                    </w:rPr>
                  </m:ctrlPr>
                </m:sSubPr>
                <m:e>
                  <m:r>
                    <w:rPr>
                      <w:rFonts w:ascii="Cambria Math" w:hAnsi="Cambria Math"/>
                    </w:rPr>
                    <m:t>(IORGAFTA</m:t>
                  </m:r>
                </m:e>
                <m:sub>
                  <m:r>
                    <w:rPr>
                      <w:rFonts w:ascii="Cambria Math" w:hAnsi="Cambria Math"/>
                    </w:rPr>
                    <m:t>ij</m:t>
                  </m:r>
                </m:sub>
              </m:sSub>
              <m:r>
                <w:rPr>
                  <w:rFonts w:ascii="Cambria Math" w:hAnsi="Cambria Math"/>
                </w:rPr>
                <m:t xml:space="preserve">) </m:t>
              </m:r>
              <m:sSub>
                <m:sSubPr>
                  <m:ctrlPr>
                    <w:rPr>
                      <w:rFonts w:ascii="Cambria Math" w:hAnsi="Cambria Math"/>
                      <w:i/>
                    </w:rPr>
                  </m:ctrlPr>
                </m:sSubPr>
                <m:e>
                  <m:r>
                    <w:rPr>
                      <w:rFonts w:ascii="Cambria Math" w:hAnsi="Cambria Math"/>
                    </w:rPr>
                    <m:t>+ a</m:t>
                  </m:r>
                </m:e>
                <m:sub>
                  <m:r>
                    <w:rPr>
                      <w:rFonts w:ascii="Cambria Math" w:hAnsi="Cambria Math"/>
                    </w:rPr>
                    <m:t>16</m:t>
                  </m:r>
                </m:sub>
              </m:sSub>
              <m:sSub>
                <m:sSubPr>
                  <m:ctrlPr>
                    <w:rPr>
                      <w:rFonts w:ascii="Cambria Math" w:hAnsi="Cambria Math"/>
                      <w:i/>
                    </w:rPr>
                  </m:ctrlPr>
                </m:sSubPr>
                <m:e>
                  <m:r>
                    <m:rPr>
                      <m:sty m:val="p"/>
                    </m:rPr>
                    <w:rPr>
                      <w:rFonts w:ascii="Cambria Math" w:hAnsi="Cambria Math"/>
                    </w:rPr>
                    <m:t>⁡</m:t>
                  </m:r>
                  <m:r>
                    <w:rPr>
                      <w:rFonts w:ascii="Cambria Math" w:hAnsi="Cambria Math"/>
                    </w:rPr>
                    <m:t>(DGCC</m:t>
                  </m:r>
                </m:e>
                <m:sub>
                  <m:r>
                    <w:rPr>
                      <w:rFonts w:ascii="Cambria Math" w:hAnsi="Cambria Math"/>
                    </w:rPr>
                    <m:t>ij</m:t>
                  </m:r>
                </m:sub>
              </m:sSub>
              <m:r>
                <w:rPr>
                  <w:rFonts w:ascii="Cambria Math" w:hAnsi="Cambria Math"/>
                </w:rPr>
                <m:t>)</m:t>
              </m:r>
              <m:sSub>
                <m:sSubPr>
                  <m:ctrlPr>
                    <w:rPr>
                      <w:rFonts w:ascii="Cambria Math" w:hAnsi="Cambria Math"/>
                      <w:i/>
                    </w:rPr>
                  </m:ctrlPr>
                </m:sSubPr>
                <m:e>
                  <m:sSub>
                    <m:sSubPr>
                      <m:ctrlPr>
                        <w:rPr>
                          <w:rFonts w:ascii="Cambria Math" w:hAnsi="Cambria Math"/>
                          <w:i/>
                        </w:rPr>
                      </m:ctrlPr>
                    </m:sSubPr>
                    <m:e>
                      <m:r>
                        <w:rPr>
                          <w:rFonts w:ascii="Cambria Math" w:hAnsi="Cambria Math"/>
                        </w:rPr>
                        <m:t>+ a</m:t>
                      </m:r>
                    </m:e>
                    <m:sub>
                      <m:r>
                        <w:rPr>
                          <w:rFonts w:ascii="Cambria Math" w:hAnsi="Cambria Math"/>
                        </w:rPr>
                        <m:t>17</m:t>
                      </m:r>
                    </m:sub>
                  </m:sSub>
                  <m:r>
                    <w:rPr>
                      <w:rFonts w:ascii="Cambria Math" w:hAnsi="Cambria Math"/>
                    </w:rPr>
                    <m:t xml:space="preserve">(DGAFTA </m:t>
                  </m:r>
                </m:e>
                <m:sub>
                  <m:r>
                    <w:rPr>
                      <w:rFonts w:ascii="Cambria Math" w:hAnsi="Cambria Math"/>
                    </w:rPr>
                    <m:t>ij</m:t>
                  </m:r>
                </m:sub>
              </m:sSub>
              <m:r>
                <w:rPr>
                  <w:rFonts w:ascii="Cambria Math" w:hAnsi="Cambria Math"/>
                </w:rPr>
                <m:t>)+ε</m:t>
              </m:r>
            </m:e>
            <m:sub>
              <m:r>
                <w:rPr>
                  <w:rFonts w:ascii="Cambria Math" w:hAnsi="Cambria Math"/>
                </w:rPr>
                <m:t xml:space="preserve">ijt </m:t>
              </m:r>
            </m:sub>
          </m:sSub>
          <m:r>
            <w:rPr>
              <w:rFonts w:ascii="Cambria Math" w:hAnsi="Cambria Math"/>
            </w:rPr>
            <m:t>….(1)</m:t>
          </m:r>
        </m:oMath>
      </m:oMathPara>
    </w:p>
    <w:p w:rsidR="00764BB3" w:rsidRDefault="00B33B41" w:rsidP="00764BB3">
      <w:pPr>
        <w:ind w:firstLine="720"/>
        <w:rPr>
          <w:rFonts w:asciiTheme="majorBidi" w:eastAsiaTheme="minorEastAsia" w:hAnsiTheme="majorBidi" w:cs="Times New Roman"/>
        </w:rPr>
      </w:pPr>
      <w:r w:rsidRPr="00512868">
        <w:rPr>
          <w:rFonts w:asciiTheme="majorBidi" w:eastAsiaTheme="minorEastAsia" w:hAnsiTheme="majorBidi" w:cs="Times New Roman"/>
        </w:rPr>
        <w:t>Where;</w:t>
      </w:r>
    </w:p>
    <w:p w:rsidR="00B33B41" w:rsidRPr="00764BB3" w:rsidRDefault="00B33B41" w:rsidP="00764BB3">
      <w:pPr>
        <w:ind w:firstLine="720"/>
        <w:rPr>
          <w:rFonts w:asciiTheme="majorBidi" w:eastAsiaTheme="minorEastAsia" w:hAnsiTheme="majorBidi" w:cs="Times New Roman"/>
        </w:rPr>
      </w:pPr>
      <w:r>
        <w:rPr>
          <w:rFonts w:ascii="Times New Roman" w:eastAsiaTheme="minorEastAsia" w:hAnsi="Times New Roman" w:cs="Times New Roman"/>
        </w:rPr>
        <w:t>Dependent Variable;</w:t>
      </w:r>
    </w:p>
    <w:p w:rsidR="00B33B41" w:rsidRDefault="00B33B41" w:rsidP="00B33B41">
      <w:pPr>
        <w:spacing w:after="0" w:line="360" w:lineRule="auto"/>
        <w:ind w:left="2880" w:right="360" w:hanging="1440"/>
        <w:jc w:val="both"/>
        <w:rPr>
          <w:rFonts w:ascii="Times New Roman" w:eastAsiaTheme="minorEastAsia" w:hAnsi="Times New Roman" w:cs="Times New Roman"/>
        </w:rPr>
      </w:pPr>
      <w:r>
        <w:rPr>
          <w:rFonts w:ascii="Times New Roman" w:eastAsiaTheme="minorEastAsia" w:hAnsi="Times New Roman" w:cs="Times New Roman"/>
        </w:rPr>
        <w:t>Z</w:t>
      </w:r>
      <w:r w:rsidRPr="00DF71C9">
        <w:rPr>
          <w:rFonts w:ascii="Times New Roman" w:eastAsiaTheme="minorEastAsia" w:hAnsi="Times New Roman" w:cs="Times New Roman"/>
        </w:rPr>
        <w:t xml:space="preserve">ijt </w:t>
      </w:r>
      <w:r>
        <w:rPr>
          <w:rFonts w:ascii="Times New Roman" w:eastAsiaTheme="minorEastAsia" w:hAnsi="Times New Roman" w:cs="Times New Roman"/>
        </w:rPr>
        <w:tab/>
      </w:r>
      <w:r w:rsidRPr="00DF71C9">
        <w:rPr>
          <w:rFonts w:ascii="Times New Roman" w:eastAsiaTheme="minorEastAsia" w:hAnsi="Times New Roman" w:cs="Times New Roman"/>
        </w:rPr>
        <w:t>denotes the value of</w:t>
      </w:r>
      <w:r>
        <w:rPr>
          <w:rFonts w:ascii="Times New Roman" w:eastAsiaTheme="minorEastAsia" w:hAnsi="Times New Roman" w:cs="Times New Roman"/>
        </w:rPr>
        <w:t xml:space="preserve"> bilateral exports </w:t>
      </w:r>
      <w:r w:rsidRPr="00DF71C9">
        <w:rPr>
          <w:rFonts w:ascii="Times New Roman" w:eastAsiaTheme="minorEastAsia" w:hAnsi="Times New Roman" w:cs="Times New Roman"/>
        </w:rPr>
        <w:t>between countries i and j at</w:t>
      </w:r>
      <w:r>
        <w:rPr>
          <w:rFonts w:ascii="Times New Roman" w:eastAsiaTheme="minorEastAsia" w:hAnsi="Times New Roman" w:cs="Times New Roman"/>
        </w:rPr>
        <w:t xml:space="preserve"> </w:t>
      </w:r>
      <w:r w:rsidRPr="00DF71C9">
        <w:rPr>
          <w:rFonts w:ascii="Times New Roman" w:eastAsiaTheme="minorEastAsia" w:hAnsi="Times New Roman" w:cs="Times New Roman"/>
        </w:rPr>
        <w:t>time t</w:t>
      </w:r>
    </w:p>
    <w:p w:rsidR="00B33B41" w:rsidRDefault="00B33B41" w:rsidP="00B33B41">
      <w:pPr>
        <w:spacing w:after="0" w:line="360" w:lineRule="auto"/>
        <w:ind w:right="360"/>
        <w:jc w:val="both"/>
        <w:rPr>
          <w:rFonts w:ascii="Times New Roman" w:eastAsiaTheme="minorEastAsia" w:hAnsi="Times New Roman" w:cs="Times New Roman"/>
        </w:rPr>
      </w:pPr>
      <w:r>
        <w:rPr>
          <w:rFonts w:ascii="Times New Roman" w:eastAsiaTheme="minorEastAsia" w:hAnsi="Times New Roman" w:cs="Times New Roman"/>
        </w:rPr>
        <w:t xml:space="preserve"> </w:t>
      </w:r>
      <w:r>
        <w:rPr>
          <w:rFonts w:ascii="Times New Roman" w:eastAsiaTheme="minorEastAsia" w:hAnsi="Times New Roman" w:cs="Times New Roman"/>
        </w:rPr>
        <w:tab/>
        <w:t>Explanatory Variables;</w:t>
      </w:r>
    </w:p>
    <w:p w:rsidR="00B33B41" w:rsidRPr="0074013D" w:rsidRDefault="00B33B41" w:rsidP="00B33B41">
      <w:pPr>
        <w:spacing w:after="0" w:line="360" w:lineRule="auto"/>
        <w:ind w:left="2160" w:right="360" w:hanging="720"/>
        <w:jc w:val="both"/>
        <w:rPr>
          <w:rFonts w:ascii="Times New Roman" w:eastAsiaTheme="minorEastAsia" w:hAnsi="Times New Roman" w:cs="Times New Roman"/>
          <w:sz w:val="20"/>
          <w:szCs w:val="20"/>
        </w:rPr>
      </w:pPr>
      <w:r w:rsidRPr="0074013D">
        <w:rPr>
          <w:rFonts w:ascii="Times New Roman" w:eastAsiaTheme="minorEastAsia" w:hAnsi="Times New Roman" w:cs="Times New Roman"/>
        </w:rPr>
        <w:t>GDP</w:t>
      </w:r>
      <w:r w:rsidRPr="0074013D">
        <w:rPr>
          <w:rFonts w:ascii="Times New Roman" w:eastAsiaTheme="minorEastAsia" w:hAnsi="Times New Roman" w:cs="Times New Roman"/>
          <w:vertAlign w:val="subscript"/>
        </w:rPr>
        <w:t>it</w:t>
      </w:r>
      <w:r w:rsidRPr="0074013D">
        <w:rPr>
          <w:rFonts w:ascii="Times New Roman" w:eastAsiaTheme="minorEastAsia" w:hAnsi="Times New Roman" w:cs="Times New Roman"/>
          <w:sz w:val="24"/>
          <w:szCs w:val="24"/>
          <w:vertAlign w:val="subscript"/>
        </w:rPr>
        <w:tab/>
      </w:r>
      <w:r w:rsidRPr="0074013D">
        <w:rPr>
          <w:rFonts w:ascii="Times New Roman" w:eastAsiaTheme="minorEastAsia" w:hAnsi="Times New Roman" w:cs="Times New Roman"/>
          <w:sz w:val="24"/>
          <w:szCs w:val="24"/>
          <w:vertAlign w:val="subscript"/>
        </w:rPr>
        <w:tab/>
      </w:r>
      <w:r w:rsidRPr="0074013D">
        <w:rPr>
          <w:rFonts w:ascii="Times New Roman" w:eastAsiaTheme="minorEastAsia" w:hAnsi="Times New Roman" w:cs="Times New Roman"/>
        </w:rPr>
        <w:t>nominal GDP of country i at time t</w:t>
      </w:r>
    </w:p>
    <w:p w:rsidR="00B33B41" w:rsidRPr="0074013D" w:rsidRDefault="00B33B41" w:rsidP="00B33B41">
      <w:pPr>
        <w:spacing w:after="0" w:line="360" w:lineRule="auto"/>
        <w:ind w:left="2160" w:right="360" w:hanging="720"/>
        <w:jc w:val="both"/>
        <w:rPr>
          <w:rFonts w:ascii="Times New Roman" w:eastAsiaTheme="minorEastAsia" w:hAnsi="Times New Roman" w:cs="Times New Roman"/>
          <w:vertAlign w:val="subscript"/>
        </w:rPr>
      </w:pPr>
      <w:r w:rsidRPr="0074013D">
        <w:rPr>
          <w:rFonts w:ascii="Times New Roman" w:eastAsiaTheme="minorEastAsia" w:hAnsi="Times New Roman" w:cs="Times New Roman"/>
        </w:rPr>
        <w:t>GDP</w:t>
      </w:r>
      <w:r w:rsidRPr="0074013D">
        <w:rPr>
          <w:rFonts w:ascii="Times New Roman" w:eastAsiaTheme="minorEastAsia" w:hAnsi="Times New Roman" w:cs="Times New Roman"/>
          <w:vertAlign w:val="subscript"/>
        </w:rPr>
        <w:t>jt</w:t>
      </w:r>
      <w:r w:rsidRPr="0074013D">
        <w:rPr>
          <w:rFonts w:ascii="Times New Roman" w:eastAsiaTheme="minorEastAsia" w:hAnsi="Times New Roman" w:cs="Times New Roman"/>
          <w:vertAlign w:val="subscript"/>
        </w:rPr>
        <w:tab/>
      </w:r>
      <w:r w:rsidRPr="0074013D">
        <w:rPr>
          <w:rFonts w:ascii="Times New Roman" w:eastAsiaTheme="minorEastAsia" w:hAnsi="Times New Roman" w:cs="Times New Roman"/>
          <w:vertAlign w:val="subscript"/>
        </w:rPr>
        <w:tab/>
      </w:r>
      <w:r w:rsidRPr="0074013D">
        <w:rPr>
          <w:rFonts w:ascii="Times New Roman" w:eastAsiaTheme="minorEastAsia" w:hAnsi="Times New Roman" w:cs="Times New Roman"/>
        </w:rPr>
        <w:t>nominal GDP of country j at time t</w:t>
      </w:r>
    </w:p>
    <w:p w:rsidR="00B33B41" w:rsidRPr="0074013D" w:rsidRDefault="00B33B41" w:rsidP="00B33B41">
      <w:pPr>
        <w:spacing w:after="0" w:line="360" w:lineRule="auto"/>
        <w:ind w:left="2160" w:right="360" w:hanging="720"/>
        <w:jc w:val="both"/>
        <w:rPr>
          <w:rFonts w:ascii="Times New Roman" w:eastAsiaTheme="minorEastAsia" w:hAnsi="Times New Roman" w:cs="Times New Roman"/>
          <w:vertAlign w:val="subscript"/>
        </w:rPr>
      </w:pPr>
      <w:r w:rsidRPr="0074013D">
        <w:rPr>
          <w:rFonts w:ascii="Times New Roman" w:eastAsiaTheme="minorEastAsia" w:hAnsi="Times New Roman" w:cs="Times New Roman"/>
        </w:rPr>
        <w:t>POP</w:t>
      </w:r>
      <w:r w:rsidRPr="0074013D">
        <w:rPr>
          <w:rFonts w:ascii="Times New Roman" w:eastAsiaTheme="minorEastAsia" w:hAnsi="Times New Roman" w:cs="Times New Roman"/>
          <w:vertAlign w:val="subscript"/>
        </w:rPr>
        <w:t>it</w:t>
      </w:r>
      <w:r w:rsidRPr="0074013D">
        <w:rPr>
          <w:rFonts w:ascii="Times New Roman" w:eastAsiaTheme="minorEastAsia" w:hAnsi="Times New Roman" w:cs="Times New Roman"/>
          <w:vertAlign w:val="subscript"/>
        </w:rPr>
        <w:tab/>
      </w:r>
      <w:r w:rsidRPr="0074013D">
        <w:rPr>
          <w:rFonts w:ascii="Times New Roman" w:eastAsiaTheme="minorEastAsia" w:hAnsi="Times New Roman" w:cs="Times New Roman"/>
          <w:vertAlign w:val="subscript"/>
        </w:rPr>
        <w:tab/>
      </w:r>
      <w:r w:rsidRPr="0074013D">
        <w:rPr>
          <w:rFonts w:ascii="Times New Roman" w:eastAsiaTheme="minorEastAsia" w:hAnsi="Times New Roman" w:cs="Times New Roman"/>
        </w:rPr>
        <w:t>population of country i at time t</w:t>
      </w:r>
    </w:p>
    <w:p w:rsidR="00B33B41" w:rsidRPr="0074013D" w:rsidRDefault="00B33B41" w:rsidP="00B33B41">
      <w:pPr>
        <w:spacing w:after="0" w:line="360" w:lineRule="auto"/>
        <w:ind w:left="2160" w:right="360" w:hanging="720"/>
        <w:jc w:val="both"/>
        <w:rPr>
          <w:rFonts w:ascii="Times New Roman" w:eastAsiaTheme="minorEastAsia" w:hAnsi="Times New Roman" w:cs="Times New Roman"/>
          <w:vertAlign w:val="subscript"/>
        </w:rPr>
      </w:pPr>
      <w:r w:rsidRPr="0074013D">
        <w:rPr>
          <w:rFonts w:ascii="Times New Roman" w:eastAsiaTheme="minorEastAsia" w:hAnsi="Times New Roman" w:cs="Times New Roman"/>
        </w:rPr>
        <w:t>POP</w:t>
      </w:r>
      <w:r w:rsidRPr="0074013D">
        <w:rPr>
          <w:rFonts w:ascii="Times New Roman" w:eastAsiaTheme="minorEastAsia" w:hAnsi="Times New Roman" w:cs="Times New Roman"/>
          <w:vertAlign w:val="subscript"/>
        </w:rPr>
        <w:t>jt</w:t>
      </w:r>
      <w:r w:rsidRPr="0074013D">
        <w:rPr>
          <w:rFonts w:ascii="Times New Roman" w:eastAsiaTheme="minorEastAsia" w:hAnsi="Times New Roman" w:cs="Times New Roman"/>
          <w:vertAlign w:val="subscript"/>
        </w:rPr>
        <w:tab/>
      </w:r>
      <w:r w:rsidRPr="0074013D">
        <w:rPr>
          <w:rFonts w:ascii="Times New Roman" w:eastAsiaTheme="minorEastAsia" w:hAnsi="Times New Roman" w:cs="Times New Roman"/>
          <w:vertAlign w:val="subscript"/>
        </w:rPr>
        <w:tab/>
      </w:r>
      <w:r w:rsidRPr="0074013D">
        <w:rPr>
          <w:rFonts w:ascii="Times New Roman" w:eastAsiaTheme="minorEastAsia" w:hAnsi="Times New Roman" w:cs="Times New Roman"/>
        </w:rPr>
        <w:t>population of country j at time t</w:t>
      </w:r>
    </w:p>
    <w:p w:rsidR="00B33B41" w:rsidRPr="0074013D" w:rsidRDefault="00B33B41" w:rsidP="00B33B41">
      <w:pPr>
        <w:spacing w:after="0" w:line="360" w:lineRule="auto"/>
        <w:ind w:left="720" w:right="360" w:firstLine="720"/>
        <w:jc w:val="both"/>
        <w:rPr>
          <w:rFonts w:ascii="Times New Roman" w:hAnsi="Times New Roman" w:cs="Times New Roman"/>
        </w:rPr>
      </w:pPr>
      <w:r w:rsidRPr="0074013D">
        <w:rPr>
          <w:rFonts w:ascii="Times New Roman" w:hAnsi="Times New Roman" w:cs="Times New Roman"/>
        </w:rPr>
        <w:t>REM_EXP</w:t>
      </w:r>
      <w:r w:rsidRPr="0074013D">
        <w:rPr>
          <w:rFonts w:ascii="Times New Roman" w:eastAsiaTheme="minorEastAsia" w:hAnsi="Times New Roman" w:cs="Times New Roman"/>
          <w:sz w:val="24"/>
          <w:szCs w:val="24"/>
          <w:vertAlign w:val="subscript"/>
        </w:rPr>
        <w:t>it</w:t>
      </w:r>
      <w:r w:rsidRPr="0074013D">
        <w:rPr>
          <w:rFonts w:ascii="Times New Roman" w:hAnsi="Times New Roman" w:cs="Times New Roman"/>
        </w:rPr>
        <w:tab/>
        <w:t>remoteness for exporter</w:t>
      </w:r>
    </w:p>
    <w:p w:rsidR="00B33B41" w:rsidRPr="0074013D" w:rsidRDefault="00B33B41" w:rsidP="00B33B41">
      <w:pPr>
        <w:spacing w:after="0" w:line="360" w:lineRule="auto"/>
        <w:ind w:left="720" w:right="360" w:firstLine="720"/>
        <w:jc w:val="both"/>
        <w:rPr>
          <w:rFonts w:ascii="Times New Roman" w:hAnsi="Times New Roman" w:cs="Times New Roman"/>
        </w:rPr>
      </w:pPr>
      <w:r w:rsidRPr="0074013D">
        <w:rPr>
          <w:rFonts w:ascii="Times New Roman" w:hAnsi="Times New Roman" w:cs="Times New Roman"/>
        </w:rPr>
        <w:t>REM_IMP</w:t>
      </w:r>
      <w:r w:rsidRPr="0074013D">
        <w:rPr>
          <w:rFonts w:ascii="Times New Roman" w:eastAsiaTheme="minorEastAsia" w:hAnsi="Times New Roman" w:cs="Times New Roman"/>
          <w:sz w:val="24"/>
          <w:szCs w:val="24"/>
          <w:vertAlign w:val="subscript"/>
        </w:rPr>
        <w:t>jt</w:t>
      </w:r>
      <w:r w:rsidRPr="0074013D">
        <w:rPr>
          <w:rFonts w:ascii="Times New Roman" w:hAnsi="Times New Roman" w:cs="Times New Roman"/>
        </w:rPr>
        <w:tab/>
        <w:t>remoteness for importer</w:t>
      </w:r>
    </w:p>
    <w:p w:rsidR="00B33B41" w:rsidRPr="0074013D" w:rsidRDefault="00B33B41" w:rsidP="00F3760C">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DIST</w:t>
      </w:r>
      <w:r w:rsidRPr="0074013D">
        <w:rPr>
          <w:rFonts w:asciiTheme="majorBidi" w:eastAsiaTheme="minorEastAsia" w:hAnsiTheme="majorBidi" w:cstheme="majorBidi"/>
          <w:vertAlign w:val="subscript"/>
        </w:rPr>
        <w:t>ij</w:t>
      </w:r>
      <w:r w:rsidRPr="0074013D">
        <w:rPr>
          <w:rFonts w:asciiTheme="majorBidi" w:eastAsiaTheme="minorEastAsia" w:hAnsiTheme="majorBidi" w:cstheme="majorBidi"/>
          <w:vertAlign w:val="subscript"/>
        </w:rPr>
        <w:tab/>
      </w:r>
      <w:r w:rsidR="00F3760C" w:rsidRPr="0074013D">
        <w:rPr>
          <w:rFonts w:asciiTheme="majorBidi" w:hAnsiTheme="majorBidi" w:cstheme="majorBidi"/>
        </w:rPr>
        <w:t>geographical</w:t>
      </w:r>
      <w:r w:rsidR="00F3760C" w:rsidRPr="0074013D">
        <w:rPr>
          <w:rFonts w:asciiTheme="majorBidi" w:eastAsiaTheme="minorEastAsia" w:hAnsiTheme="majorBidi" w:cstheme="majorBidi"/>
        </w:rPr>
        <w:t xml:space="preserve"> or economic </w:t>
      </w:r>
      <w:r w:rsidRPr="0074013D">
        <w:rPr>
          <w:rFonts w:asciiTheme="majorBidi" w:eastAsiaTheme="minorEastAsia" w:hAnsiTheme="majorBidi" w:cstheme="majorBidi"/>
        </w:rPr>
        <w:t>distance between countries i and j</w:t>
      </w:r>
      <w:r w:rsidR="00F3760C" w:rsidRPr="0074013D">
        <w:rPr>
          <w:rFonts w:asciiTheme="majorBidi" w:eastAsiaTheme="minorEastAsia" w:hAnsiTheme="majorBidi" w:cstheme="majorBidi"/>
        </w:rPr>
        <w:t xml:space="preserve"> </w:t>
      </w:r>
      <w:r w:rsidR="00F3760C" w:rsidRPr="0074013D">
        <w:rPr>
          <w:rFonts w:asciiTheme="majorBidi" w:hAnsiTheme="majorBidi" w:cstheme="majorBidi"/>
        </w:rPr>
        <w:t>in kilometers</w:t>
      </w:r>
    </w:p>
    <w:p w:rsidR="00B33B41" w:rsidRPr="0074013D" w:rsidRDefault="00B33B41" w:rsidP="00B33B41">
      <w:pPr>
        <w:spacing w:after="0" w:line="360" w:lineRule="auto"/>
        <w:ind w:left="1440" w:right="360"/>
        <w:jc w:val="both"/>
        <w:rPr>
          <w:rFonts w:asciiTheme="majorBidi" w:eastAsiaTheme="minorEastAsia" w:hAnsiTheme="majorBidi" w:cstheme="majorBidi"/>
        </w:rPr>
      </w:pPr>
      <w:r w:rsidRPr="0074013D">
        <w:rPr>
          <w:rFonts w:asciiTheme="majorBidi" w:hAnsiTheme="majorBidi" w:cstheme="majorBidi"/>
        </w:rPr>
        <w:t>COMB</w:t>
      </w:r>
      <w:r w:rsidRPr="0074013D">
        <w:rPr>
          <w:rFonts w:asciiTheme="majorBidi" w:eastAsiaTheme="minorEastAsia" w:hAnsiTheme="majorBidi" w:cstheme="majorBidi"/>
          <w:vertAlign w:val="subscript"/>
        </w:rPr>
        <w:t>ij</w:t>
      </w:r>
      <w:r w:rsidRPr="0074013D">
        <w:rPr>
          <w:rFonts w:asciiTheme="majorBidi" w:eastAsiaTheme="minorEastAsia" w:hAnsiTheme="majorBidi" w:cstheme="majorBidi"/>
          <w:vertAlign w:val="subscript"/>
        </w:rPr>
        <w:tab/>
      </w:r>
      <w:r w:rsidRPr="0074013D">
        <w:rPr>
          <w:rFonts w:asciiTheme="majorBidi" w:hAnsiTheme="majorBidi" w:cstheme="majorBidi"/>
        </w:rPr>
        <w:t>is</w:t>
      </w:r>
      <w:r w:rsidRPr="0074013D">
        <w:rPr>
          <w:rFonts w:asciiTheme="majorBidi" w:eastAsiaTheme="minorEastAsia" w:hAnsiTheme="majorBidi" w:cstheme="majorBidi"/>
        </w:rPr>
        <w:t xml:space="preserve"> dummy variable if countries i and j share border</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lastRenderedPageBreak/>
        <w:t>COMCOL</w:t>
      </w:r>
      <w:r w:rsidRPr="0074013D">
        <w:rPr>
          <w:rFonts w:asciiTheme="majorBidi" w:eastAsiaTheme="minorEastAsia" w:hAnsiTheme="majorBidi" w:cstheme="majorBidi"/>
          <w:vertAlign w:val="subscript"/>
        </w:rPr>
        <w:t>ij</w:t>
      </w:r>
      <w:r w:rsidRPr="0074013D">
        <w:rPr>
          <w:rFonts w:asciiTheme="majorBidi" w:hAnsiTheme="majorBidi" w:cstheme="majorBidi"/>
        </w:rPr>
        <w:tab/>
        <w:t>is a dummy variable if country i and j were colonies after 1945 with the same colonizer</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COML</w:t>
      </w:r>
      <w:r w:rsidRPr="0074013D">
        <w:rPr>
          <w:rFonts w:asciiTheme="majorBidi" w:eastAsiaTheme="minorEastAsia" w:hAnsiTheme="majorBidi" w:cstheme="majorBidi"/>
          <w:vertAlign w:val="subscript"/>
        </w:rPr>
        <w:t>ij</w:t>
      </w:r>
      <w:r w:rsidRPr="0074013D">
        <w:rPr>
          <w:rFonts w:asciiTheme="majorBidi" w:eastAsiaTheme="minorEastAsia" w:hAnsiTheme="majorBidi" w:cstheme="majorBidi"/>
          <w:vertAlign w:val="subscript"/>
        </w:rPr>
        <w:tab/>
      </w:r>
      <w:r w:rsidRPr="0074013D">
        <w:rPr>
          <w:rFonts w:asciiTheme="majorBidi" w:hAnsiTheme="majorBidi" w:cstheme="majorBidi"/>
        </w:rPr>
        <w:t>is</w:t>
      </w:r>
      <w:r w:rsidRPr="0074013D">
        <w:rPr>
          <w:rFonts w:asciiTheme="majorBidi" w:eastAsiaTheme="minorEastAsia" w:hAnsiTheme="majorBidi" w:cstheme="majorBidi"/>
        </w:rPr>
        <w:t xml:space="preserve"> dummy variable if countries i and j share common language</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COL</w:t>
      </w:r>
      <w:r w:rsidRPr="0074013D">
        <w:rPr>
          <w:rFonts w:asciiTheme="majorBidi" w:eastAsiaTheme="minorEastAsia" w:hAnsiTheme="majorBidi" w:cstheme="majorBidi"/>
          <w:vertAlign w:val="subscript"/>
        </w:rPr>
        <w:t>ij</w:t>
      </w:r>
      <w:r w:rsidRPr="0074013D">
        <w:rPr>
          <w:rFonts w:asciiTheme="majorBidi" w:eastAsiaTheme="minorEastAsia" w:hAnsiTheme="majorBidi" w:cstheme="majorBidi"/>
          <w:vertAlign w:val="subscript"/>
        </w:rPr>
        <w:tab/>
      </w:r>
      <w:r w:rsidRPr="0074013D">
        <w:rPr>
          <w:rFonts w:asciiTheme="majorBidi" w:hAnsiTheme="majorBidi" w:cstheme="majorBidi"/>
        </w:rPr>
        <w:t>is</w:t>
      </w:r>
      <w:r w:rsidRPr="0074013D">
        <w:rPr>
          <w:rFonts w:asciiTheme="majorBidi" w:eastAsiaTheme="minorEastAsia" w:hAnsiTheme="majorBidi" w:cstheme="majorBidi"/>
        </w:rPr>
        <w:t xml:space="preserve"> dummy variable if countries i and j belong to same colony</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DIORA</w:t>
      </w:r>
      <w:r w:rsidRPr="0074013D">
        <w:rPr>
          <w:rFonts w:asciiTheme="majorBidi" w:eastAsiaTheme="minorEastAsia" w:hAnsiTheme="majorBidi" w:cstheme="majorBidi"/>
          <w:vertAlign w:val="subscript"/>
        </w:rPr>
        <w:t>ijt</w:t>
      </w:r>
      <w:r w:rsidRPr="0074013D">
        <w:rPr>
          <w:rFonts w:asciiTheme="majorBidi" w:hAnsiTheme="majorBidi" w:cstheme="majorBidi"/>
        </w:rPr>
        <w:tab/>
        <w:t xml:space="preserve"> is a dummy variable, which takes the value of 1 if i and j are both IORA countries.</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DIORAX</w:t>
      </w:r>
      <w:r w:rsidRPr="0074013D">
        <w:rPr>
          <w:rFonts w:asciiTheme="majorBidi" w:eastAsiaTheme="minorEastAsia" w:hAnsiTheme="majorBidi" w:cstheme="majorBidi"/>
          <w:vertAlign w:val="subscript"/>
        </w:rPr>
        <w:t>ijt</w:t>
      </w:r>
      <w:r w:rsidRPr="0074013D">
        <w:rPr>
          <w:rFonts w:asciiTheme="majorBidi" w:eastAsiaTheme="minorEastAsia" w:hAnsiTheme="majorBidi" w:cstheme="majorBidi"/>
          <w:vertAlign w:val="subscript"/>
        </w:rPr>
        <w:tab/>
      </w:r>
      <w:r w:rsidRPr="0074013D">
        <w:rPr>
          <w:rFonts w:asciiTheme="majorBidi" w:hAnsiTheme="majorBidi" w:cstheme="majorBidi"/>
        </w:rPr>
        <w:t>is a dummy variable, which takes the value of 1 if i belongs to IORA and j is not a member of IORA.</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IORGCC</w:t>
      </w:r>
      <w:r w:rsidRPr="0074013D">
        <w:rPr>
          <w:rFonts w:asciiTheme="majorBidi" w:eastAsiaTheme="minorEastAsia" w:hAnsiTheme="majorBidi" w:cstheme="majorBidi"/>
          <w:vertAlign w:val="subscript"/>
        </w:rPr>
        <w:t>ijt</w:t>
      </w:r>
      <w:r w:rsidRPr="0074013D">
        <w:rPr>
          <w:rFonts w:asciiTheme="majorBidi" w:eastAsiaTheme="minorEastAsia" w:hAnsiTheme="majorBidi" w:cstheme="majorBidi"/>
          <w:vertAlign w:val="subscript"/>
        </w:rPr>
        <w:tab/>
      </w:r>
      <w:r w:rsidRPr="0074013D">
        <w:rPr>
          <w:rFonts w:asciiTheme="majorBidi" w:hAnsiTheme="majorBidi" w:cstheme="majorBidi"/>
        </w:rPr>
        <w:t>is a dummy variable, which takes the value of 1 if i belongs to IORA and j is a member of GCC.</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IORGAFTA</w:t>
      </w:r>
      <w:r w:rsidRPr="0074013D">
        <w:rPr>
          <w:rFonts w:asciiTheme="majorBidi" w:eastAsiaTheme="minorEastAsia" w:hAnsiTheme="majorBidi" w:cstheme="majorBidi"/>
          <w:vertAlign w:val="subscript"/>
        </w:rPr>
        <w:t>ijt</w:t>
      </w:r>
      <w:r w:rsidRPr="0074013D">
        <w:rPr>
          <w:rFonts w:asciiTheme="majorBidi" w:hAnsiTheme="majorBidi" w:cstheme="majorBidi"/>
        </w:rPr>
        <w:tab/>
        <w:t>is a dummy variable, which takes the value of 1 if i belongs to IORA and j is a member of GAFTA</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DGCC</w:t>
      </w:r>
      <w:r w:rsidRPr="0074013D">
        <w:rPr>
          <w:rFonts w:asciiTheme="majorBidi" w:eastAsiaTheme="minorEastAsia" w:hAnsiTheme="majorBidi" w:cstheme="majorBidi"/>
          <w:vertAlign w:val="subscript"/>
        </w:rPr>
        <w:t>ijt</w:t>
      </w:r>
      <w:r w:rsidRPr="0074013D">
        <w:rPr>
          <w:rFonts w:asciiTheme="majorBidi" w:hAnsiTheme="majorBidi" w:cstheme="majorBidi"/>
        </w:rPr>
        <w:t xml:space="preserve"> </w:t>
      </w:r>
      <w:r w:rsidRPr="0074013D">
        <w:rPr>
          <w:rFonts w:asciiTheme="majorBidi" w:hAnsiTheme="majorBidi" w:cstheme="majorBidi"/>
        </w:rPr>
        <w:tab/>
        <w:t xml:space="preserve">is a dummy variable, which takes the value of 1 if i and j are both GCC countries. </w:t>
      </w:r>
    </w:p>
    <w:p w:rsidR="00B33B41" w:rsidRPr="0074013D" w:rsidRDefault="00B33B41" w:rsidP="00B33B41">
      <w:pPr>
        <w:spacing w:after="0" w:line="360" w:lineRule="auto"/>
        <w:ind w:left="2880" w:right="360" w:hanging="1440"/>
        <w:jc w:val="both"/>
        <w:rPr>
          <w:rFonts w:asciiTheme="majorBidi" w:hAnsiTheme="majorBidi" w:cstheme="majorBidi"/>
        </w:rPr>
      </w:pPr>
      <w:r w:rsidRPr="0074013D">
        <w:rPr>
          <w:rFonts w:asciiTheme="majorBidi" w:hAnsiTheme="majorBidi" w:cstheme="majorBidi"/>
        </w:rPr>
        <w:t>DGAFTA</w:t>
      </w:r>
      <w:r w:rsidRPr="0074013D">
        <w:rPr>
          <w:rFonts w:asciiTheme="majorBidi" w:eastAsiaTheme="minorEastAsia" w:hAnsiTheme="majorBidi" w:cstheme="majorBidi"/>
          <w:vertAlign w:val="subscript"/>
        </w:rPr>
        <w:t>ijt</w:t>
      </w:r>
      <w:r w:rsidRPr="0074013D">
        <w:rPr>
          <w:rFonts w:asciiTheme="majorBidi" w:hAnsiTheme="majorBidi" w:cstheme="majorBidi"/>
        </w:rPr>
        <w:tab/>
        <w:t xml:space="preserve"> is a dummy variable, which takes the value of one if i and j belong to the GAFTA.</w:t>
      </w:r>
    </w:p>
    <w:p w:rsidR="00B33B41" w:rsidRPr="0074013D" w:rsidRDefault="009B786B" w:rsidP="00B33B41">
      <w:pPr>
        <w:ind w:left="720" w:firstLine="720"/>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lang w:val="es-ES"/>
              </w:rPr>
              <m:t>0</m:t>
            </m:r>
          </m:sub>
        </m:sSub>
      </m:oMath>
      <w:r w:rsidR="00B33B41" w:rsidRPr="0074013D">
        <w:rPr>
          <w:rFonts w:asciiTheme="majorBidi" w:hAnsiTheme="majorBidi" w:cstheme="majorBidi"/>
          <w:vertAlign w:val="subscript"/>
        </w:rPr>
        <w:tab/>
      </w:r>
      <w:r w:rsidR="00B33B41" w:rsidRPr="0074013D">
        <w:rPr>
          <w:rFonts w:asciiTheme="majorBidi" w:hAnsiTheme="majorBidi" w:cstheme="majorBidi"/>
          <w:vertAlign w:val="subscript"/>
        </w:rPr>
        <w:tab/>
      </w:r>
      <w:r w:rsidR="00B33B41" w:rsidRPr="0074013D">
        <w:rPr>
          <w:rFonts w:asciiTheme="majorBidi" w:hAnsiTheme="majorBidi" w:cstheme="majorBidi"/>
        </w:rPr>
        <w:t>is</w:t>
      </w:r>
      <w:r w:rsidR="00B33B41" w:rsidRPr="0074013D">
        <w:rPr>
          <w:rFonts w:asciiTheme="majorBidi" w:hAnsiTheme="majorBidi" w:cstheme="majorBidi"/>
          <w:vertAlign w:val="subscript"/>
        </w:rPr>
        <w:t xml:space="preserve"> </w:t>
      </w:r>
      <w:r w:rsidR="00B33B41" w:rsidRPr="0074013D">
        <w:rPr>
          <w:rFonts w:asciiTheme="majorBidi" w:hAnsiTheme="majorBidi" w:cstheme="majorBidi"/>
        </w:rPr>
        <w:t>the world output</w:t>
      </w:r>
    </w:p>
    <w:p w:rsidR="00B33B41" w:rsidRPr="0074013D" w:rsidRDefault="009B786B" w:rsidP="00B33B41">
      <w:pPr>
        <w:spacing w:after="0" w:line="360" w:lineRule="auto"/>
        <w:ind w:left="2880" w:right="360" w:hanging="1440"/>
        <w:jc w:val="both"/>
        <w:rPr>
          <w:rFonts w:asciiTheme="majorBidi" w:hAnsiTheme="majorBidi" w:cstheme="majorBidi"/>
        </w:rPr>
      </w:pPr>
      <m:oMath>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lang w:val="es-ES"/>
              </w:rPr>
              <m:t>1</m:t>
            </m:r>
          </m:sub>
        </m:sSub>
        <m:r>
          <w:rPr>
            <w:rFonts w:ascii="Cambria Math" w:hAnsi="Cambria Math" w:cstheme="majorBidi"/>
          </w:rPr>
          <m:t xml:space="preserve"> to </m:t>
        </m:r>
        <m:sSub>
          <m:sSubPr>
            <m:ctrlPr>
              <w:rPr>
                <w:rFonts w:ascii="Cambria Math" w:hAnsi="Cambria Math" w:cstheme="majorBidi"/>
                <w:i/>
              </w:rPr>
            </m:ctrlPr>
          </m:sSubPr>
          <m:e>
            <m:r>
              <w:rPr>
                <w:rFonts w:ascii="Cambria Math" w:hAnsi="Cambria Math" w:cstheme="majorBidi"/>
              </w:rPr>
              <m:t>a</m:t>
            </m:r>
          </m:e>
          <m:sub>
            <m:r>
              <w:rPr>
                <w:rFonts w:ascii="Cambria Math" w:hAnsi="Cambria Math" w:cstheme="majorBidi"/>
              </w:rPr>
              <m:t>16</m:t>
            </m:r>
          </m:sub>
        </m:sSub>
      </m:oMath>
      <w:r w:rsidR="00B33B41" w:rsidRPr="0074013D">
        <w:rPr>
          <w:rFonts w:asciiTheme="majorBidi" w:hAnsiTheme="majorBidi" w:cstheme="majorBidi"/>
          <w:vertAlign w:val="subscript"/>
        </w:rPr>
        <w:tab/>
      </w:r>
      <w:r w:rsidR="00B33B41" w:rsidRPr="0074013D">
        <w:rPr>
          <w:rFonts w:asciiTheme="majorBidi" w:hAnsiTheme="majorBidi" w:cstheme="majorBidi"/>
        </w:rPr>
        <w:t>coefficient</w:t>
      </w:r>
      <w:r w:rsidR="00B33B41" w:rsidRPr="0074013D">
        <w:rPr>
          <w:rFonts w:asciiTheme="majorBidi" w:hAnsiTheme="majorBidi" w:cstheme="majorBidi"/>
          <w:vertAlign w:val="subscript"/>
        </w:rPr>
        <w:t xml:space="preserve"> </w:t>
      </w:r>
      <w:r w:rsidR="00B33B41" w:rsidRPr="0074013D">
        <w:rPr>
          <w:rFonts w:asciiTheme="majorBidi" w:hAnsiTheme="majorBidi" w:cstheme="majorBidi"/>
        </w:rPr>
        <w:t>to be estimated</w:t>
      </w:r>
    </w:p>
    <w:p w:rsidR="0003330C" w:rsidRPr="0074013D" w:rsidRDefault="00B33B41" w:rsidP="00077D42">
      <w:pPr>
        <w:spacing w:after="0" w:line="360" w:lineRule="auto"/>
        <w:ind w:left="1296" w:right="360" w:firstLine="144"/>
        <w:jc w:val="both"/>
        <w:rPr>
          <w:rFonts w:asciiTheme="majorBidi" w:hAnsiTheme="majorBidi" w:cstheme="majorBidi"/>
        </w:rPr>
      </w:pPr>
      <m:oMath>
        <m:r>
          <w:rPr>
            <w:rFonts w:ascii="Cambria Math" w:hAnsi="Cambria Math" w:cstheme="majorBidi"/>
            <w:vertAlign w:val="subscript"/>
          </w:rPr>
          <m:t>ε</m:t>
        </m:r>
      </m:oMath>
      <w:r w:rsidRPr="0074013D">
        <w:rPr>
          <w:rFonts w:asciiTheme="majorBidi" w:eastAsiaTheme="minorEastAsia" w:hAnsiTheme="majorBidi" w:cstheme="majorBidi"/>
          <w:vertAlign w:val="subscript"/>
        </w:rPr>
        <w:t>ijt</w:t>
      </w:r>
      <w:r w:rsidRPr="0074013D">
        <w:rPr>
          <w:rFonts w:asciiTheme="majorBidi" w:hAnsiTheme="majorBidi" w:cstheme="majorBidi"/>
        </w:rPr>
        <w:t xml:space="preserve">  </w:t>
      </w:r>
      <w:r w:rsidRPr="0074013D">
        <w:rPr>
          <w:rFonts w:asciiTheme="majorBidi" w:hAnsiTheme="majorBidi" w:cstheme="majorBidi"/>
        </w:rPr>
        <w:tab/>
      </w:r>
      <w:r w:rsidRPr="0074013D">
        <w:rPr>
          <w:rFonts w:asciiTheme="majorBidi" w:hAnsiTheme="majorBidi" w:cstheme="majorBidi"/>
        </w:rPr>
        <w:tab/>
        <w:t>is white noise disturbance term.</w:t>
      </w:r>
    </w:p>
    <w:p w:rsidR="00F3760C" w:rsidRDefault="0003330C" w:rsidP="00574119">
      <w:pPr>
        <w:spacing w:line="360" w:lineRule="auto"/>
        <w:jc w:val="both"/>
        <w:rPr>
          <w:rFonts w:ascii="Times New Roman" w:hAnsi="Times New Roman" w:cs="Times New Roman"/>
          <w:sz w:val="24"/>
          <w:szCs w:val="24"/>
        </w:rPr>
      </w:pPr>
      <w:r w:rsidRPr="00FB1442">
        <w:rPr>
          <w:rFonts w:ascii="Times New Roman" w:hAnsi="Times New Roman" w:cs="Times New Roman"/>
          <w:sz w:val="24"/>
          <w:szCs w:val="24"/>
        </w:rPr>
        <w:t xml:space="preserve">The coefficient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a</m:t>
            </m:r>
          </m:e>
          <m:sub>
            <m:r>
              <m:rPr>
                <m:sty m:val="p"/>
              </m:rPr>
              <w:rPr>
                <w:rFonts w:ascii="Cambria Math" w:hAnsi="Cambria Math" w:cs="Times New Roman"/>
                <w:sz w:val="24"/>
                <w:szCs w:val="24"/>
              </w:rPr>
              <m:t>1</m:t>
            </m:r>
          </m:sub>
        </m:sSub>
      </m:oMath>
      <w:r w:rsidRPr="00FB1442">
        <w:rPr>
          <w:rFonts w:ascii="Times New Roman" w:hAnsi="Times New Roman" w:cs="Times New Roman"/>
          <w:sz w:val="24"/>
          <w:szCs w:val="24"/>
        </w:rPr>
        <w:t xml:space="preserve"> to</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a</m:t>
            </m:r>
          </m:e>
          <m:sub>
            <m:r>
              <m:rPr>
                <m:sty m:val="p"/>
              </m:rPr>
              <w:rPr>
                <w:rFonts w:ascii="Cambria Math" w:hAnsi="Cambria Math" w:cs="Times New Roman"/>
                <w:sz w:val="24"/>
                <w:szCs w:val="24"/>
              </w:rPr>
              <m:t>4</m:t>
            </m:r>
          </m:sub>
        </m:sSub>
      </m:oMath>
      <w:r w:rsidRPr="00FB1442">
        <w:rPr>
          <w:rFonts w:ascii="Times New Roman" w:hAnsi="Times New Roman" w:cs="Times New Roman"/>
          <w:sz w:val="24"/>
          <w:szCs w:val="24"/>
        </w:rPr>
        <w:t xml:space="preserve"> captures the economic and market </w:t>
      </w:r>
      <w:r w:rsidR="00155526">
        <w:rPr>
          <w:rFonts w:ascii="Times New Roman" w:hAnsi="Times New Roman" w:cs="Times New Roman"/>
          <w:sz w:val="24"/>
          <w:szCs w:val="24"/>
        </w:rPr>
        <w:t>s</w:t>
      </w:r>
      <w:r w:rsidRPr="00FB1442">
        <w:rPr>
          <w:rFonts w:ascii="Times New Roman" w:hAnsi="Times New Roman" w:cs="Times New Roman"/>
          <w:sz w:val="24"/>
          <w:szCs w:val="24"/>
        </w:rPr>
        <w:t xml:space="preserve">ize </w:t>
      </w:r>
      <w:r w:rsidR="00155526">
        <w:rPr>
          <w:rFonts w:ascii="Times New Roman" w:hAnsi="Times New Roman" w:cs="Times New Roman"/>
          <w:sz w:val="24"/>
          <w:szCs w:val="24"/>
        </w:rPr>
        <w:t>e</w:t>
      </w:r>
      <w:r w:rsidRPr="00FB1442">
        <w:rPr>
          <w:rFonts w:ascii="Times New Roman" w:hAnsi="Times New Roman" w:cs="Times New Roman"/>
          <w:sz w:val="24"/>
          <w:szCs w:val="24"/>
        </w:rPr>
        <w:t>ffects</w:t>
      </w:r>
      <w:r w:rsidRPr="00FB1442">
        <w:rPr>
          <w:rFonts w:ascii="Times New Roman" w:hAnsi="Times New Roman"/>
        </w:rPr>
        <w:t>.</w:t>
      </w:r>
      <w:r w:rsidR="00FB1442" w:rsidRPr="00FB1442">
        <w:rPr>
          <w:rFonts w:ascii="Times New Roman" w:hAnsi="Times New Roman"/>
        </w:rPr>
        <w:t xml:space="preserve"> </w:t>
      </w:r>
      <w:r w:rsidR="00B33B41">
        <w:rPr>
          <w:rFonts w:ascii="Times New Roman" w:hAnsi="Times New Roman" w:cs="Times New Roman"/>
          <w:sz w:val="24"/>
          <w:szCs w:val="24"/>
        </w:rPr>
        <w:t>Higher income level</w:t>
      </w:r>
      <w:r>
        <w:rPr>
          <w:rFonts w:ascii="Times New Roman" w:hAnsi="Times New Roman" w:cs="Times New Roman"/>
          <w:sz w:val="24"/>
          <w:szCs w:val="24"/>
        </w:rPr>
        <w:t xml:space="preserve"> (GDP)</w:t>
      </w:r>
      <w:r w:rsidR="00B33B41">
        <w:rPr>
          <w:rFonts w:ascii="Times New Roman" w:hAnsi="Times New Roman" w:cs="Times New Roman"/>
          <w:sz w:val="24"/>
          <w:szCs w:val="24"/>
        </w:rPr>
        <w:t xml:space="preserve"> in exporting </w:t>
      </w:r>
      <w:r w:rsidR="00077D42">
        <w:rPr>
          <w:rFonts w:ascii="Times New Roman" w:hAnsi="Times New Roman" w:cs="Times New Roman"/>
          <w:sz w:val="24"/>
          <w:szCs w:val="24"/>
        </w:rPr>
        <w:t xml:space="preserve">and importing </w:t>
      </w:r>
      <w:r w:rsidR="00B33B41">
        <w:rPr>
          <w:rFonts w:ascii="Times New Roman" w:hAnsi="Times New Roman" w:cs="Times New Roman"/>
          <w:sz w:val="24"/>
          <w:szCs w:val="24"/>
        </w:rPr>
        <w:t xml:space="preserve">countries shows </w:t>
      </w:r>
      <w:r w:rsidR="00077D42">
        <w:rPr>
          <w:rFonts w:ascii="Times New Roman" w:hAnsi="Times New Roman" w:cs="Times New Roman"/>
          <w:sz w:val="24"/>
          <w:szCs w:val="24"/>
        </w:rPr>
        <w:t>propensity for production and consumption of varieties of products (</w:t>
      </w:r>
      <w:r w:rsidR="00077D42">
        <w:rPr>
          <w:rFonts w:ascii="Times New Roman" w:hAnsi="Times New Roman" w:cs="Times New Roman"/>
          <w:sz w:val="24"/>
          <w:szCs w:val="24"/>
        </w:rPr>
        <w:fldChar w:fldCharType="begin" w:fldLock="1"/>
      </w:r>
      <w:r w:rsidR="00077D42">
        <w:rPr>
          <w:rFonts w:ascii="Times New Roman" w:hAnsi="Times New Roman" w:cs="Times New Roman"/>
          <w:sz w:val="24"/>
          <w:szCs w:val="24"/>
        </w:rPr>
        <w:instrText>ADDIN CSL_CITATION {"citationItems":[{"id":"ITEM-1","itemData":{"ISBN":"9287043671","author":[{"dropping-particle":"V","family":"Yotov","given":"Yoto","non-dropping-particle":"","parse-names":false,"suffix":""},{"dropping-particle":"","family":"Piermartini","given":"Roberta","non-dropping-particle":"","parse-names":false,"suffix":""},{"dropping-particle":"","family":"Monteiro","given":"José-Antonio","non-dropping-particle":"","parse-names":false,"suffix":""},{"dropping-particle":"","family":"Larch","given":"Mario","non-dropping-particle":"","parse-names":false,"suffix":""}],"id":"ITEM-1","issued":{"date-parts":[["2016"]]},"publisher":"World Trade Organization","title":"An advanced guide to trade policy analysis: The structural gravity model","type":"book"},"uris":["http://www.mendeley.com/documents/?uuid=f043c798-1e8e-4edc-a1d7-1525a6573508"]}],"mendeley":{"formattedCitation":"(Yotov, Piermartini, Monteiro, &amp; Larch, 2016)","manualFormatting":"Yotov et al.,2016)","plainTextFormattedCitation":"(Yotov, Piermartini, Monteiro, &amp; Larch, 2016)","previouslyFormattedCitation":"(Yotov, Piermartini, Monteiro, &amp; Larch, 2016)"},"properties":{"noteIndex":0},"schema":"https://github.com/citation-style-language/schema/raw/master/csl-citation.json"}</w:instrText>
      </w:r>
      <w:r w:rsidR="00077D42">
        <w:rPr>
          <w:rFonts w:ascii="Times New Roman" w:hAnsi="Times New Roman" w:cs="Times New Roman"/>
          <w:sz w:val="24"/>
          <w:szCs w:val="24"/>
        </w:rPr>
        <w:fldChar w:fldCharType="separate"/>
      </w:r>
      <w:r w:rsidR="00077D42">
        <w:rPr>
          <w:rFonts w:ascii="Times New Roman" w:hAnsi="Times New Roman" w:cs="Times New Roman"/>
          <w:sz w:val="24"/>
          <w:szCs w:val="24"/>
        </w:rPr>
        <w:t>Yotov et al.,</w:t>
      </w:r>
      <w:r w:rsidR="00077D42" w:rsidRPr="000170ED">
        <w:rPr>
          <w:rFonts w:ascii="Times New Roman" w:hAnsi="Times New Roman" w:cs="Times New Roman"/>
          <w:sz w:val="24"/>
          <w:szCs w:val="24"/>
        </w:rPr>
        <w:t>2016)</w:t>
      </w:r>
      <w:r w:rsidR="00077D42">
        <w:rPr>
          <w:rFonts w:ascii="Times New Roman" w:hAnsi="Times New Roman" w:cs="Times New Roman"/>
          <w:sz w:val="24"/>
          <w:szCs w:val="24"/>
        </w:rPr>
        <w:fldChar w:fldCharType="end"/>
      </w:r>
      <w:r w:rsidR="00077D42">
        <w:rPr>
          <w:rFonts w:ascii="Times New Roman" w:hAnsi="Times New Roman" w:cs="Times New Roman"/>
          <w:sz w:val="24"/>
          <w:szCs w:val="24"/>
        </w:rPr>
        <w:t xml:space="preserve"> and we</w:t>
      </w:r>
      <w:r w:rsidR="00B33B41">
        <w:rPr>
          <w:rFonts w:ascii="Times New Roman" w:hAnsi="Times New Roman" w:cs="Times New Roman"/>
          <w:sz w:val="24"/>
          <w:szCs w:val="24"/>
        </w:rPr>
        <w:t xml:space="preserve"> </w:t>
      </w:r>
      <w:r w:rsidR="00077D42" w:rsidRPr="006A20B5">
        <w:rPr>
          <w:rFonts w:ascii="Times New Roman" w:hAnsi="Times New Roman" w:cs="Times New Roman"/>
          <w:sz w:val="24"/>
          <w:szCs w:val="24"/>
        </w:rPr>
        <w:t>expect</w:t>
      </w:r>
      <w:r w:rsidR="00077D42">
        <w:rPr>
          <w:rFonts w:ascii="Times New Roman" w:hAnsi="Times New Roman" w:cs="Times New Roman"/>
          <w:sz w:val="24"/>
          <w:szCs w:val="24"/>
        </w:rPr>
        <w:t xml:space="preserve"> </w:t>
      </w:r>
      <w:r w:rsidR="00B33B41">
        <w:rPr>
          <w:rFonts w:ascii="Times New Roman" w:hAnsi="Times New Roman" w:cs="Times New Roman"/>
          <w:sz w:val="24"/>
          <w:szCs w:val="24"/>
        </w:rPr>
        <w:t xml:space="preserve">coefficient </w:t>
      </w:r>
      <m:oMath>
        <m:sSub>
          <m:sSubPr>
            <m:ctrlPr>
              <w:rPr>
                <w:rFonts w:ascii="Cambria Math" w:hAnsi="Cambria Math" w:cs="Times New Roman"/>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m:t>
        </m:r>
        <m:r>
          <w:rPr>
            <w:rFonts w:ascii="Cambria Math" w:hAnsi="Cambria Math" w:cs="Times New Roman"/>
            <w:sz w:val="24"/>
            <w:szCs w:val="24"/>
          </w:rPr>
          <m:t>and</m:t>
        </m:r>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a</m:t>
            </m:r>
          </m:e>
          <m:sub>
            <m:r>
              <m:rPr>
                <m:sty m:val="p"/>
              </m:rPr>
              <w:rPr>
                <w:rFonts w:ascii="Cambria Math" w:hAnsi="Cambria Math" w:cs="Times New Roman"/>
                <w:sz w:val="24"/>
                <w:szCs w:val="24"/>
              </w:rPr>
              <m:t>2</m:t>
            </m:r>
          </m:sub>
        </m:sSub>
      </m:oMath>
      <w:r w:rsidR="00B33B41" w:rsidRPr="006A20B5">
        <w:rPr>
          <w:rFonts w:ascii="Times New Roman" w:hAnsi="Times New Roman" w:cs="Times New Roman"/>
          <w:sz w:val="24"/>
          <w:szCs w:val="24"/>
        </w:rPr>
        <w:t xml:space="preserve"> to be positive as </w:t>
      </w:r>
      <w:r w:rsidR="00B33B41">
        <w:rPr>
          <w:rFonts w:ascii="Times New Roman" w:hAnsi="Times New Roman" w:cs="Times New Roman"/>
          <w:sz w:val="24"/>
          <w:szCs w:val="24"/>
        </w:rPr>
        <w:t xml:space="preserve">share of </w:t>
      </w:r>
      <w:r w:rsidR="00B33B41" w:rsidRPr="006A20B5">
        <w:rPr>
          <w:rFonts w:ascii="Times New Roman" w:hAnsi="Times New Roman" w:cs="Times New Roman"/>
          <w:sz w:val="24"/>
          <w:szCs w:val="24"/>
        </w:rPr>
        <w:t>traded good shares</w:t>
      </w:r>
      <w:r w:rsidR="00B33B41">
        <w:rPr>
          <w:rFonts w:ascii="Times New Roman" w:hAnsi="Times New Roman" w:cs="Times New Roman"/>
          <w:sz w:val="24"/>
          <w:szCs w:val="24"/>
        </w:rPr>
        <w:t xml:space="preserve"> </w:t>
      </w:r>
      <w:r w:rsidR="00B33B41" w:rsidRPr="006A20B5">
        <w:rPr>
          <w:rFonts w:ascii="Times New Roman" w:hAnsi="Times New Roman" w:cs="Times New Roman"/>
          <w:sz w:val="24"/>
          <w:szCs w:val="24"/>
        </w:rPr>
        <w:t>increase</w:t>
      </w:r>
      <w:r w:rsidR="00B33B41">
        <w:rPr>
          <w:rFonts w:ascii="Times New Roman" w:hAnsi="Times New Roman" w:cs="Times New Roman"/>
          <w:sz w:val="24"/>
          <w:szCs w:val="24"/>
        </w:rPr>
        <w:t>s</w:t>
      </w:r>
      <w:r w:rsidR="00B33B41" w:rsidRPr="006A20B5">
        <w:rPr>
          <w:rFonts w:ascii="Times New Roman" w:hAnsi="Times New Roman" w:cs="Times New Roman"/>
          <w:sz w:val="24"/>
          <w:szCs w:val="24"/>
        </w:rPr>
        <w:t xml:space="preserve"> with income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{"citationItems":[{"id":"ITEM-1","itemData":{"DOI":"10.1057/ces.1995.14","ISBN":"1898128138","ISSN":"0888-7233","abstract":"Powerful political and economic forces are driving a rapid integration of post-communist Europe, yet short-term political considerations have produced piecemeal trade arrangements instead of a coherent structure. Individual agreements have been signed linking the European Union to several Central and East European countries (CEECs), EFTA to several CEECs, a few CEECs to each other and EU to EFTA. Although the agreements have many similar features, most have been negotiated separately; their coverage differs significantly; and there are no links among them. Is this maze of bilateral deals the best configuration for promoting pan-European growth and stability? How will these agreements and their interactions influence growth, trade, investment, migration and income disparities in Europe? Richard Baldwin has marshalled the best available empirical evidence and analytic techniques to establish a framework for organizing our thinking on why the structure and pattern of trade arrangements matters. On this basis, he assesses the alternative paths towards European economic and political integration. The economic analysis is objective, but political economy on this scale is likely to lead to strong policy conclusions, as indeed it does here. Aspects of his own proposal will be controversial, but it offers a deeply considered basis for further discussion and ultimately for action. All will benefit from Baldwin's insights and the challenge he puts forward for a more positive and consistent approach to the architecture of Europe.","author":[{"dropping-particle":"","family":"Baldwin","given":"Richard E.","non-dropping-particle":"","parse-names":false,"suffix":""}],"container-title":"Comparative Economic Studies","id":"ITEM-1","issue":"2","issued":{"date-parts":[["1994"]]},"page":"115-118","title":"Towards an Integrated Europe","type":"article-journal","volume":"37"},"uris":["http://www.mendeley.com/documents/?uuid=5eeb0a33-a7d9-4037-9a97-e09ce46dffca"]}],"mendeley":{"formattedCitation":"(Baldwin, 1994)","plainTextFormattedCitation":"(Baldwin, 1994)","previouslyFormattedCitation":"(Baldwin, 1994)"},"properties":{"noteIndex":0},"schema":"https://github.com/citation-style-language/schema/raw/master/csl-citation.json"}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sidRPr="005B68E3">
        <w:rPr>
          <w:rFonts w:ascii="Times New Roman" w:hAnsi="Times New Roman" w:cs="Times New Roman"/>
          <w:sz w:val="24"/>
          <w:szCs w:val="24"/>
        </w:rPr>
        <w:t>(Baldwin, 1994)</w:t>
      </w:r>
      <w:r w:rsidR="00B33B41">
        <w:rPr>
          <w:rFonts w:ascii="Times New Roman" w:hAnsi="Times New Roman" w:cs="Times New Roman"/>
          <w:sz w:val="24"/>
          <w:szCs w:val="24"/>
        </w:rPr>
        <w:fldChar w:fldCharType="end"/>
      </w:r>
      <w:r w:rsidR="00B33B41">
        <w:rPr>
          <w:rFonts w:ascii="Times New Roman" w:hAnsi="Times New Roman" w:cs="Times New Roman"/>
          <w:sz w:val="24"/>
          <w:szCs w:val="24"/>
        </w:rPr>
        <w:t>.</w:t>
      </w:r>
      <w:r w:rsidR="00182E08">
        <w:rPr>
          <w:rFonts w:ascii="Times New Roman" w:hAnsi="Times New Roman" w:cs="Times New Roman"/>
          <w:sz w:val="24"/>
          <w:szCs w:val="24"/>
        </w:rPr>
        <w:t xml:space="preserve"> </w:t>
      </w:r>
      <w:r w:rsidR="00B33B41" w:rsidRPr="006A20B5">
        <w:rPr>
          <w:rFonts w:ascii="Times New Roman" w:hAnsi="Times New Roman" w:cs="Times New Roman"/>
          <w:sz w:val="24"/>
          <w:szCs w:val="24"/>
        </w:rPr>
        <w:t xml:space="preserve">The effect of population </w:t>
      </w:r>
      <w:r w:rsidR="00B33B41">
        <w:rPr>
          <w:rFonts w:ascii="Times New Roman" w:hAnsi="Times New Roman" w:cs="Times New Roman"/>
          <w:sz w:val="24"/>
          <w:szCs w:val="24"/>
        </w:rPr>
        <w:t xml:space="preserve">on </w:t>
      </w:r>
      <w:r w:rsidR="00B33B41" w:rsidRPr="006A20B5">
        <w:rPr>
          <w:rFonts w:ascii="Times New Roman" w:hAnsi="Times New Roman" w:cs="Times New Roman"/>
          <w:sz w:val="24"/>
          <w:szCs w:val="24"/>
        </w:rPr>
        <w:t xml:space="preserve">trade can be ambiguous. It can either be trade facilitating or inhibiting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{"citationItems":[{"id":"ITEM-1","itemData":{"ISSN":"0003-6846","author":[{"dropping-particle":"","family":"Oguledo","given":"Victor","non-dropping-particle":"","parse-names":false,"suffix":""},{"dropping-particle":"","family":"MacPhee","given":"Craig R","non-dropping-particle":"","parse-names":false,"suffix":""}],"container-title":"Applied Economics","id":"ITEM-1","issue":"2","issued":{"date-parts":[["1994"]]},"page":"107-120","publisher":"Taylor &amp; Francis","title":"Gravity models: a reformulation and an application to discriminatory trade arrangements","type":"article-journal","volume":"26"},"uris":["http://www.mendeley.com/documents/?uuid=11c44f82-dde9-4fa2-b225-8f5c8edbf965"]}],"mendeley":{"formattedCitation":"(Oguledo &amp; MacPhee, 1994)","plainTextFormattedCitation":"(Oguledo &amp; MacPhee, 1994)","previouslyFormattedCitation":"(Oguledo &amp; MacPhee, 1994)"},"properties":{"noteIndex":0},"schema":"https://github.com/citation-style-language/schema/raw/master/csl-citation.json"}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sidRPr="005B68E3">
        <w:rPr>
          <w:rFonts w:ascii="Times New Roman" w:hAnsi="Times New Roman" w:cs="Times New Roman"/>
          <w:sz w:val="24"/>
          <w:szCs w:val="24"/>
        </w:rPr>
        <w:t>(Oguledo &amp; MacPhee, 1994)</w:t>
      </w:r>
      <w:r w:rsidR="00B33B41">
        <w:rPr>
          <w:rFonts w:ascii="Times New Roman" w:hAnsi="Times New Roman" w:cs="Times New Roman"/>
          <w:sz w:val="24"/>
          <w:szCs w:val="24"/>
        </w:rPr>
        <w:fldChar w:fldCharType="end"/>
      </w:r>
      <w:r w:rsidR="00B33B41" w:rsidRPr="006A20B5">
        <w:rPr>
          <w:rFonts w:ascii="Times New Roman" w:hAnsi="Times New Roman" w:cs="Times New Roman"/>
          <w:sz w:val="24"/>
          <w:szCs w:val="24"/>
        </w:rPr>
        <w:t xml:space="preserve">. As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{"citationItems":[{"id":"ITEM-1","itemData":{"author":[{"dropping-particle":"","family":"Boughanmi","given":"Houcine","non-dropping-particle":"","parse-names":false,"suffix":""}],"container-title":"Journal of Economic Integration","id":"ITEM-1","issue":"March","issued":{"date-parts":[["2008"]]},"page":"42-56","title":"The Trade Potential of the Arab Gulf Cooperation Countries ( GCC ): A Gravity Model","type":"article-journal","volume":"23"},"uris":["http://www.mendeley.com/documents/?uuid=317ba9ae-0ee2-4fc5-98ce-07ffbb84dd2f"]}],"mendeley":{"formattedCitation":"(Boughanmi, 2008)","manualFormatting":"Boughanmi (2008)","plainTextFormattedCitation":"(Boughanmi, 2008)","previouslyFormattedCitation":"(Boughanmi, 2008)"},"properties":{"noteIndex":0},"schema":"https://github.com/citation-style-language/schema/raw/master/csl-citation.json"}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sidRPr="006A20B5">
        <w:rPr>
          <w:rFonts w:ascii="Times New Roman" w:hAnsi="Times New Roman" w:cs="Times New Roman"/>
          <w:sz w:val="24"/>
          <w:szCs w:val="24"/>
        </w:rPr>
        <w:t>Boughanmi (2008)</w:t>
      </w:r>
      <w:r w:rsidR="00B33B41">
        <w:rPr>
          <w:rFonts w:ascii="Times New Roman" w:hAnsi="Times New Roman" w:cs="Times New Roman"/>
          <w:sz w:val="24"/>
          <w:szCs w:val="24"/>
        </w:rPr>
        <w:fldChar w:fldCharType="end"/>
      </w:r>
      <w:r w:rsidR="00B33B41" w:rsidRPr="006A20B5">
        <w:rPr>
          <w:rFonts w:ascii="Times New Roman" w:hAnsi="Times New Roman" w:cs="Times New Roman"/>
          <w:sz w:val="24"/>
          <w:szCs w:val="24"/>
        </w:rPr>
        <w:t xml:space="preserve"> explains, a big country might export less (consume most of it production itself) or export more leveraging on economy of scale.</w:t>
      </w:r>
      <w:r w:rsidR="00B33B41">
        <w:rPr>
          <w:rFonts w:ascii="Times New Roman" w:hAnsi="Times New Roman" w:cs="Times New Roman"/>
          <w:sz w:val="24"/>
          <w:szCs w:val="24"/>
        </w:rPr>
        <w:t xml:space="preserve"> I</w:t>
      </w:r>
      <w:r w:rsidR="00B33B41" w:rsidRPr="006A20B5">
        <w:rPr>
          <w:rFonts w:ascii="Times New Roman" w:hAnsi="Times New Roman" w:cs="Times New Roman"/>
          <w:sz w:val="24"/>
          <w:szCs w:val="24"/>
        </w:rPr>
        <w:t xml:space="preserve">n another explanation by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{"citationItems":[{"id":"ITEM-1","itemData":{"ISSN":"1062-9408","author":[{"dropping-particle":"","family":"Martinez-Zarzoso","given":"Inmaculada","non-dropping-particle":"","parse-names":false,"suffix":""},{"dropping-particle":"","family":"Felicitas","given":"Nowak-Lehmann D","non-dropping-particle":"","parse-names":false,"suffix":""},{"dropping-particle":"","family":"Horsewood","given":"Nicholas","non-dropping-particle":"","parse-names":false,"suffix":""}],"container-title":"The North American Journal of Economics and Finance","id":"ITEM-1","issue":"1","issued":{"date-parts":[["2009"]]},"page":"46-65","publisher":"Elsevier","title":"Are regional trading agreements beneficial?: Static and dynamic panel gravity models","type":"article-journal","volume":"20"},"uris":["http://www.mendeley.com/documents/?uuid=1bf97d9b-08a2-4b34-a8d8-4fd403ec4a88"]}],"mendeley":{"formattedCitation":"(Martinez-Zarzoso, Felicitas, &amp; Horsewood, 2009)","manualFormatting":"Martinez-Zarzoso et al. (2009)","plainTextFormattedCitation":"(Martinez-Zarzoso, Felicitas, &amp; Horsewood, 2009)","previouslyFormattedCitation":"(Martinez-Zarzoso, Felicitas, &amp; Horsewood, 2009)"},"properties":{"noteIndex":0},"schema":"https://github.com/citation-style-language/schema/raw/master/csl-citation.json"}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sidRPr="006A20B5">
        <w:rPr>
          <w:rFonts w:ascii="Times New Roman" w:hAnsi="Times New Roman" w:cs="Times New Roman"/>
          <w:sz w:val="24"/>
          <w:szCs w:val="24"/>
        </w:rPr>
        <w:t>Martinez-</w:t>
      </w:r>
      <w:r w:rsidR="00B33B41">
        <w:rPr>
          <w:rFonts w:ascii="Times New Roman" w:hAnsi="Times New Roman" w:cs="Times New Roman"/>
          <w:sz w:val="24"/>
          <w:szCs w:val="24"/>
        </w:rPr>
        <w:t xml:space="preserve">Zarzoso </w:t>
      </w:r>
      <w:r w:rsidR="00B33B41" w:rsidRPr="00DD5B45">
        <w:rPr>
          <w:rFonts w:ascii="Times New Roman" w:hAnsi="Times New Roman" w:cs="Times New Roman"/>
          <w:sz w:val="24"/>
          <w:szCs w:val="24"/>
        </w:rPr>
        <w:t>et al</w:t>
      </w:r>
      <w:r w:rsidR="00B33B41" w:rsidRPr="00E2144C">
        <w:rPr>
          <w:rFonts w:ascii="Times New Roman" w:hAnsi="Times New Roman" w:cs="Times New Roman"/>
          <w:i/>
          <w:iCs/>
          <w:sz w:val="24"/>
          <w:szCs w:val="24"/>
        </w:rPr>
        <w:t>.</w:t>
      </w:r>
      <w:r w:rsidR="00B33B41">
        <w:rPr>
          <w:rFonts w:ascii="Times New Roman" w:hAnsi="Times New Roman" w:cs="Times New Roman"/>
          <w:sz w:val="24"/>
          <w:szCs w:val="24"/>
        </w:rPr>
        <w:t xml:space="preserve"> (</w:t>
      </w:r>
      <w:r w:rsidR="00B33B41" w:rsidRPr="006A20B5">
        <w:rPr>
          <w:rFonts w:ascii="Times New Roman" w:hAnsi="Times New Roman" w:cs="Times New Roman"/>
          <w:sz w:val="24"/>
          <w:szCs w:val="24"/>
        </w:rPr>
        <w:t>2009)</w:t>
      </w:r>
      <w:r w:rsidR="00B33B41">
        <w:rPr>
          <w:rFonts w:ascii="Times New Roman" w:hAnsi="Times New Roman" w:cs="Times New Roman"/>
          <w:sz w:val="24"/>
          <w:szCs w:val="24"/>
        </w:rPr>
        <w:fldChar w:fldCharType="end"/>
      </w:r>
      <w:r w:rsidR="00B33B41" w:rsidRPr="006A20B5">
        <w:rPr>
          <w:rFonts w:ascii="Times New Roman" w:hAnsi="Times New Roman" w:cs="Times New Roman"/>
          <w:sz w:val="24"/>
          <w:szCs w:val="24"/>
        </w:rPr>
        <w:t xml:space="preserve"> using the capital-labor endowment, </w:t>
      </w:r>
      <w:r w:rsidR="00B33B41">
        <w:rPr>
          <w:rFonts w:ascii="Times New Roman" w:hAnsi="Times New Roman" w:cs="Times New Roman"/>
          <w:sz w:val="24"/>
          <w:szCs w:val="24"/>
        </w:rPr>
        <w:t>h</w:t>
      </w:r>
      <w:r w:rsidR="00B33B41" w:rsidRPr="006A20B5">
        <w:rPr>
          <w:rFonts w:ascii="Times New Roman" w:hAnsi="Times New Roman" w:cs="Times New Roman"/>
          <w:sz w:val="24"/>
          <w:szCs w:val="24"/>
        </w:rPr>
        <w:t>igher populated countries (given level of income) are expected to trade more of labor-intensive goods because it tends to reduce the capital-intensive industry's share of national output.</w:t>
      </w:r>
      <w:r w:rsidR="00B33B41">
        <w:rPr>
          <w:rFonts w:ascii="Times New Roman" w:hAnsi="Times New Roman" w:cs="Times New Roman"/>
          <w:sz w:val="24"/>
          <w:szCs w:val="24"/>
        </w:rPr>
        <w:t xml:space="preserve"> On the </w:t>
      </w:r>
      <w:r w:rsidR="00B33B41" w:rsidRPr="008E70A2">
        <w:rPr>
          <w:rFonts w:ascii="Times New Roman" w:hAnsi="Times New Roman" w:cs="Times New Roman"/>
          <w:sz w:val="24"/>
          <w:szCs w:val="24"/>
        </w:rPr>
        <w:t>importer</w:t>
      </w:r>
      <w:r w:rsidR="00B33B41">
        <w:rPr>
          <w:rFonts w:ascii="Times New Roman" w:hAnsi="Times New Roman" w:cs="Times New Roman"/>
          <w:sz w:val="24"/>
          <w:szCs w:val="24"/>
        </w:rPr>
        <w:t>’s</w:t>
      </w:r>
      <w:r w:rsidR="00B33B41" w:rsidRPr="008E70A2">
        <w:rPr>
          <w:rFonts w:ascii="Times New Roman" w:hAnsi="Times New Roman" w:cs="Times New Roman"/>
          <w:sz w:val="24"/>
          <w:szCs w:val="24"/>
        </w:rPr>
        <w:t xml:space="preserve"> population</w:t>
      </w:r>
      <w:r w:rsidR="00B33B41">
        <w:rPr>
          <w:rFonts w:ascii="Times New Roman" w:hAnsi="Times New Roman" w:cs="Times New Roman"/>
          <w:sz w:val="24"/>
          <w:szCs w:val="24"/>
        </w:rPr>
        <w:t xml:space="preserve">, </w:t>
      </w:r>
      <w:r w:rsidR="00B33B41" w:rsidRPr="008E70A2">
        <w:rPr>
          <w:rFonts w:ascii="Times New Roman" w:hAnsi="Times New Roman" w:cs="Times New Roman"/>
          <w:sz w:val="24"/>
          <w:szCs w:val="24"/>
        </w:rPr>
        <w:t xml:space="preserve">a  negative coefficient estimate may reflect difference in taste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1564-698X","author":[{"dropping-particle":"","family":"Brun","given":"Jean-Francois","non-dropping-particle":"","parse-names":false,"suffix":""},{"dropping-particle":"","family":"Carrère","given":"Céline","non-dropping-particle":"","parse-names":false,"suffix":""},{"dropping-particle":"","family":"Guillaumont","given":"Patrick","non-dropping-particle":"","parse-names":false,"suffix":""},{"dropping-particle":"","family":"Melo","given":"Jaime","non-dropping-particle":"De","parse-names":false,"suffix":""}],"container-title":"The World Bank Economic Review","id":"ITEM-1","issue":"1","issued":{"date-parts":[["2005"]]},"page":"99-120","publisher":"Oxford University Press","title":"Has distance died? Evidence from a panel gravity model","type":"article-journal","volume":"19"},"uris":["http://www.mendeley.com/documents/?uuid=d6ab9d24-d8a2-4b21-8c10-c4cb779f5a7a"]}],"mendeley":{"formattedCitation":"(Brun, Carrère, Guillaumont, &amp; De Melo, 2005)","plainTextFormattedCitation":"(Brun, Carrère, Guillaumont, &amp; De Melo, 2005)","previouslyFormattedCitation":"(Brun, Carrère, Guillaumont, &amp; De Melo, 2005)"},"properties":{"noteIndex":0},"schema":"https://github.com/citation-style-language/schema/raw/master/csl-citation.json"}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sidRPr="005B68E3">
        <w:rPr>
          <w:rFonts w:ascii="Times New Roman" w:hAnsi="Times New Roman" w:cs="Times New Roman"/>
          <w:sz w:val="24"/>
          <w:szCs w:val="24"/>
        </w:rPr>
        <w:t xml:space="preserve">(Brun, Carrère, Guillaumont, &amp; De </w:t>
      </w:r>
      <w:r w:rsidR="00B33B41" w:rsidRPr="005B68E3">
        <w:rPr>
          <w:rFonts w:ascii="Times New Roman" w:hAnsi="Times New Roman" w:cs="Times New Roman"/>
          <w:sz w:val="24"/>
          <w:szCs w:val="24"/>
        </w:rPr>
        <w:lastRenderedPageBreak/>
        <w:t>Melo, 2005)</w:t>
      </w:r>
      <w:r w:rsidR="00B33B41">
        <w:rPr>
          <w:rFonts w:ascii="Times New Roman" w:hAnsi="Times New Roman" w:cs="Times New Roman"/>
          <w:sz w:val="24"/>
          <w:szCs w:val="24"/>
        </w:rPr>
        <w:fldChar w:fldCharType="end"/>
      </w:r>
      <w:r w:rsidR="00B33B41" w:rsidRPr="008E70A2">
        <w:rPr>
          <w:rFonts w:ascii="Times New Roman" w:hAnsi="Times New Roman" w:cs="Times New Roman"/>
          <w:sz w:val="24"/>
          <w:szCs w:val="24"/>
        </w:rPr>
        <w:t>.</w:t>
      </w:r>
      <w:r w:rsidR="00B33B41" w:rsidRPr="006A20B5">
        <w:rPr>
          <w:rFonts w:ascii="Times New Roman" w:hAnsi="Times New Roman" w:cs="Times New Roman"/>
          <w:sz w:val="24"/>
          <w:szCs w:val="24"/>
        </w:rPr>
        <w:t xml:space="preserve"> Based on th</w:t>
      </w:r>
      <w:r w:rsidR="00B33B41">
        <w:rPr>
          <w:rFonts w:ascii="Times New Roman" w:hAnsi="Times New Roman" w:cs="Times New Roman"/>
          <w:sz w:val="24"/>
          <w:szCs w:val="24"/>
        </w:rPr>
        <w:t>ese</w:t>
      </w:r>
      <w:r w:rsidR="00B33B41" w:rsidRPr="006A20B5">
        <w:rPr>
          <w:rFonts w:ascii="Times New Roman" w:hAnsi="Times New Roman" w:cs="Times New Roman"/>
          <w:sz w:val="24"/>
          <w:szCs w:val="24"/>
        </w:rPr>
        <w:t xml:space="preserve"> explanations, we expect our coefficient estimates for population (</w:t>
      </w:r>
      <m:oMath>
        <m:sSub>
          <m:sSubPr>
            <m:ctrlPr>
              <w:rPr>
                <w:rFonts w:ascii="Cambria Math" w:hAnsi="Cambria Math"/>
              </w:rPr>
            </m:ctrlPr>
          </m:sSubPr>
          <m:e>
            <m:r>
              <w:rPr>
                <w:rFonts w:ascii="Cambria Math" w:hAnsi="Cambria Math" w:cs="Times New Roman"/>
                <w:sz w:val="24"/>
                <w:szCs w:val="24"/>
              </w:rPr>
              <m:t>a</m:t>
            </m:r>
          </m:e>
          <m:sub>
            <m:r>
              <m:rPr>
                <m:sty m:val="p"/>
              </m:rPr>
              <w:rPr>
                <w:rFonts w:ascii="Cambria Math" w:hAnsi="Cambria Math" w:cs="Times New Roman"/>
                <w:sz w:val="24"/>
                <w:szCs w:val="24"/>
              </w:rPr>
              <m:t>3</m:t>
            </m:r>
          </m:sub>
        </m:sSub>
        <m:r>
          <m:rPr>
            <m:sty m:val="p"/>
          </m:rPr>
          <w:rPr>
            <w:rFonts w:ascii="Cambria Math" w:hAnsi="Cambria Math" w:cs="Times New Roman"/>
            <w:sz w:val="24"/>
            <w:szCs w:val="24"/>
          </w:rPr>
          <m:t xml:space="preserve"> </m:t>
        </m:r>
        <m:r>
          <w:rPr>
            <w:rFonts w:ascii="Cambria Math" w:hAnsi="Cambria Math" w:cs="Times New Roman"/>
            <w:sz w:val="24"/>
            <w:szCs w:val="24"/>
          </w:rPr>
          <m:t>and</m:t>
        </m:r>
        <m:r>
          <m:rPr>
            <m:sty m:val="p"/>
          </m:rPr>
          <w:rPr>
            <w:rFonts w:ascii="Cambria Math" w:hAnsi="Cambria Math" w:cs="Times New Roman"/>
            <w:sz w:val="24"/>
            <w:szCs w:val="24"/>
          </w:rPr>
          <m:t xml:space="preserve"> </m:t>
        </m:r>
        <m:sSub>
          <m:sSubPr>
            <m:ctrlPr>
              <w:rPr>
                <w:rFonts w:ascii="Cambria Math" w:hAnsi="Cambria Math"/>
              </w:rPr>
            </m:ctrlPr>
          </m:sSubPr>
          <m:e>
            <m:r>
              <w:rPr>
                <w:rFonts w:ascii="Cambria Math" w:hAnsi="Cambria Math" w:cs="Times New Roman"/>
                <w:sz w:val="24"/>
                <w:szCs w:val="24"/>
              </w:rPr>
              <m:t>a</m:t>
            </m:r>
          </m:e>
          <m:sub>
            <m:r>
              <m:rPr>
                <m:sty m:val="p"/>
              </m:rPr>
              <w:rPr>
                <w:rFonts w:ascii="Cambria Math" w:hAnsi="Cambria Math" w:cs="Times New Roman"/>
                <w:sz w:val="24"/>
                <w:szCs w:val="24"/>
              </w:rPr>
              <m:t>4</m:t>
            </m:r>
          </m:sub>
        </m:sSub>
      </m:oMath>
      <w:r w:rsidR="00B33B41" w:rsidRPr="006A20B5">
        <w:rPr>
          <w:rFonts w:ascii="Times New Roman" w:hAnsi="Times New Roman" w:cs="Times New Roman"/>
          <w:sz w:val="24"/>
          <w:szCs w:val="24"/>
        </w:rPr>
        <w:t xml:space="preserve"> )</w:t>
      </w:r>
      <w:r w:rsidR="00B33B41">
        <w:rPr>
          <w:rFonts w:ascii="Times New Roman" w:hAnsi="Times New Roman" w:cs="Times New Roman"/>
          <w:sz w:val="24"/>
          <w:szCs w:val="24"/>
        </w:rPr>
        <w:t xml:space="preserve"> </w:t>
      </w:r>
      <w:r w:rsidR="00B33B41" w:rsidRPr="006A20B5">
        <w:rPr>
          <w:rFonts w:ascii="Times New Roman" w:hAnsi="Times New Roman" w:cs="Times New Roman"/>
          <w:sz w:val="24"/>
          <w:szCs w:val="24"/>
        </w:rPr>
        <w:t>to be either positive or negative.</w:t>
      </w:r>
      <w:r w:rsidR="00F3760C">
        <w:rPr>
          <w:rFonts w:ascii="Times New Roman" w:hAnsi="Times New Roman" w:cs="Times New Roman"/>
          <w:sz w:val="24"/>
          <w:szCs w:val="24"/>
        </w:rPr>
        <w:t xml:space="preserve"> </w:t>
      </w:r>
      <w:r w:rsidR="00B33B41">
        <w:rPr>
          <w:rFonts w:ascii="Times New Roman" w:hAnsi="Times New Roman" w:cs="Times New Roman"/>
          <w:sz w:val="24"/>
          <w:szCs w:val="24"/>
        </w:rPr>
        <w:t xml:space="preserve">MRT </w:t>
      </w:r>
      <w:r w:rsidR="00B33B41" w:rsidRPr="0009283F">
        <w:rPr>
          <w:rFonts w:ascii="Times New Roman" w:hAnsi="Times New Roman" w:cs="Times New Roman"/>
          <w:sz w:val="24"/>
          <w:szCs w:val="24"/>
        </w:rPr>
        <w:t>coefficients</w:t>
      </w:r>
      <w:r w:rsidR="00F3760C">
        <w:rPr>
          <w:rFonts w:ascii="Times New Roman" w:hAnsi="Times New Roman" w:cs="Times New Roman"/>
          <w:sz w:val="24"/>
          <w:szCs w:val="24"/>
        </w:rPr>
        <w:t xml:space="preserve"> </w:t>
      </w:r>
      <w:r w:rsidR="00F3760C" w:rsidRPr="00F76E46">
        <w:rPr>
          <w:rFonts w:asciiTheme="majorBidi" w:hAnsiTheme="majorBidi"/>
          <w:b/>
          <w:bCs/>
          <w:i/>
          <w:iCs/>
          <w:color w:val="000000" w:themeColor="text1"/>
        </w:rPr>
        <w:t>(</w:t>
      </w:r>
      <m:oMath>
        <m:sSub>
          <m:sSubPr>
            <m:ctrlPr>
              <w:rPr>
                <w:rFonts w:ascii="Cambria Math" w:hAnsi="Cambria Math"/>
                <w:b/>
                <w:i/>
                <w:color w:val="000000" w:themeColor="text1"/>
              </w:rPr>
            </m:ctrlPr>
          </m:sSubPr>
          <m:e>
            <m:r>
              <m:rPr>
                <m:sty m:val="bi"/>
              </m:rPr>
              <w:rPr>
                <w:rFonts w:ascii="Cambria Math" w:hAnsi="Cambria Math"/>
                <w:color w:val="000000" w:themeColor="text1"/>
              </w:rPr>
              <m:t>a</m:t>
            </m:r>
          </m:e>
          <m:sub>
            <m:r>
              <m:rPr>
                <m:sty m:val="bi"/>
              </m:rPr>
              <w:rPr>
                <w:rFonts w:ascii="Cambria Math" w:hAnsi="Cambria Math"/>
                <w:color w:val="000000" w:themeColor="text1"/>
              </w:rPr>
              <m:t>5</m:t>
            </m:r>
          </m:sub>
        </m:sSub>
        <m:r>
          <m:rPr>
            <m:sty m:val="bi"/>
          </m:rPr>
          <w:rPr>
            <w:rFonts w:ascii="Cambria Math" w:hAnsi="Cambria Math"/>
            <w:color w:val="000000" w:themeColor="text1"/>
          </w:rPr>
          <m:t xml:space="preserve"> and </m:t>
        </m:r>
        <m:sSub>
          <m:sSubPr>
            <m:ctrlPr>
              <w:rPr>
                <w:rFonts w:ascii="Cambria Math" w:hAnsi="Cambria Math"/>
                <w:b/>
                <w:i/>
                <w:color w:val="000000" w:themeColor="text1"/>
              </w:rPr>
            </m:ctrlPr>
          </m:sSubPr>
          <m:e>
            <m:r>
              <m:rPr>
                <m:sty m:val="bi"/>
              </m:rPr>
              <w:rPr>
                <w:rFonts w:ascii="Cambria Math" w:hAnsi="Cambria Math"/>
                <w:color w:val="000000" w:themeColor="text1"/>
              </w:rPr>
              <m:t>a</m:t>
            </m:r>
          </m:e>
          <m:sub>
            <m:r>
              <m:rPr>
                <m:sty m:val="bi"/>
              </m:rPr>
              <w:rPr>
                <w:rFonts w:ascii="Cambria Math" w:hAnsi="Cambria Math"/>
                <w:color w:val="000000" w:themeColor="text1"/>
              </w:rPr>
              <m:t>6</m:t>
            </m:r>
          </m:sub>
        </m:sSub>
        <m:r>
          <m:rPr>
            <m:sty m:val="bi"/>
          </m:rPr>
          <w:rPr>
            <w:rFonts w:ascii="Cambria Math" w:hAnsi="Cambria Math"/>
            <w:color w:val="000000" w:themeColor="text1"/>
          </w:rPr>
          <m:t>)</m:t>
        </m:r>
      </m:oMath>
      <w:r w:rsidR="00B33B41" w:rsidRPr="0009283F">
        <w:rPr>
          <w:rFonts w:ascii="Times New Roman" w:hAnsi="Times New Roman" w:cs="Times New Roman"/>
          <w:sz w:val="24"/>
          <w:szCs w:val="24"/>
        </w:rPr>
        <w:t xml:space="preserve"> are expected to be</w:t>
      </w:r>
      <w:r w:rsidR="00B33B41">
        <w:rPr>
          <w:rFonts w:ascii="Times New Roman" w:hAnsi="Times New Roman" w:cs="Times New Roman"/>
          <w:b/>
          <w:bCs/>
          <w:sz w:val="24"/>
          <w:szCs w:val="24"/>
        </w:rPr>
        <w:t xml:space="preserve"> </w:t>
      </w:r>
      <w:r w:rsidR="00B33B41">
        <w:rPr>
          <w:rFonts w:ascii="Times New Roman" w:hAnsi="Times New Roman" w:cs="Times New Roman"/>
          <w:sz w:val="24"/>
          <w:szCs w:val="24"/>
        </w:rPr>
        <w:t xml:space="preserve">positive.  </w:t>
      </w:r>
      <w:r w:rsidR="00B33B41" w:rsidRPr="00C339A0">
        <w:rPr>
          <w:rFonts w:ascii="Times New Roman" w:hAnsi="Times New Roman" w:cs="Times New Roman"/>
          <w:sz w:val="24"/>
          <w:szCs w:val="24"/>
        </w:rPr>
        <w:t xml:space="preserve">The more remote a pair of countries is from the rest of the world, the more they will tend to trade with each other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1564-698X","author":[{"dropping-particle":"","family":"Brun","given":"Jean-Francois","non-dropping-particle":"","parse-names":false,"suffix":""},{"dropping-particle":"","family":"Carrère","given":"Céline","non-dropping-particle":"","parse-names":false,"suffix":""},{"dropping-particle":"","family":"Guillaumont","given":"Patrick","non-dropping-particle":"","parse-names":false,"suffix":""},{"dropping-particle":"","family":"Melo","given":"Jaime","non-dropping-particle":"De","parse-names":false,"suffix":""}],"container-title":"The World Bank Economic Review","id":"ITEM-1","issue":"1","issued":{"date-parts":[["2005"]]},"page":"99-120","publisher":"Oxford University Press","title":"Has distance died? Evidence from a panel gravity model","type":"article-journal","volume":"19"},"uris":["http://www.mendeley.com/documents/?uuid=d6ab9d24-d8a2-4b21-8c10-c4cb779f5a7a"]},{"id":"ITEM-2","itemData":{"ISBN":"9287043671","author":[{"dropping-particle":"V","family":"Yotov","given":"Yoto","non-dropping-particle":"","parse-names":false,"suffix":""},{"dropping-particle":"","family":"Piermartini","given":"Roberta","non-dropping-particle":"","parse-names":false,"suffix":""},{"dropping-particle":"","family":"Monteiro","given":"José-Antonio","non-dropping-particle":"","parse-names":false,"suffix":""},{"dropping-particle":"","family":"Larch","given":"Mario","non-dropping-particle":"","parse-names":false,"suffix":""}],"id":"ITEM-2","issued":{"date-parts":[["2016"]]},"publisher":"World Trade Organization","title":"An advanced guide to trade policy analysis: The structural gravity model","type":"book"},"uris":["http://www.mendeley.com/documents/?uuid=f043c798-1e8e-4edc-a1d7-1525a6573508"]},{"id":"ITEM-3","itemData":{"ISSN":"1935-1682","author":[{"dropping-particle":"","family":"Márquez-Ramos","given":"Laura","non-dropping-particle":"","parse-names":false,"suffix":""},{"dropping-particle":"","family":"Martínez-Zarzoso","given":"Inmaculada","non-dropping-particle":"","parse-names":false,"suffix":""},{"dropping-particle":"","family":"Suárez-Burguet","given":"Celestino","non-dropping-particle":"","parse-names":false,"suffix":""}],"container-title":"The BE Journal of Economic Analysis &amp; Policy","id":"ITEM-3","issue":"1","issued":{"date-parts":[["2007"]]},"publisher":"De Gruyter","title":"The Role of Distance in Gravity Regressions: Is There Really a Missing Globalisation Puzzle?","type":"article-journal","volume":"7"},"uris":["http://www.mendeley.com/documents/?uuid=46cb601d-d7f7-421c-b4dd-c332098b0f04"]}],"mendeley":{"formattedCitation":"(Brun et al., 2005; Márquez-Ramos, Martínez-Zarzoso, &amp; Suárez-Burguet, 2007; Yotov et al., 2016)","manualFormatting":"(Brun et al., 2005; Márquez-Ramos et .al 2007 ; Yotov et al., 2016)","plainTextFormattedCitation":"(Brun et al., 2005; Márquez-Ramos, Martínez-Zarzoso, &amp; Suárez-Burguet, 2007; Yotov et al., 2016)","previouslyFormattedCitation":"(Brun et al., 2005; Márquez-Ramos, Martínez-Zarzoso, &amp; Suárez-Burguet, 2007; Yotov et al., 2016)"},"properties":{"noteIndex":0},"schema":"https://github.com/citation-style-language/schema/raw/master/csl-citation.json"}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sidRPr="00D92A7F">
        <w:rPr>
          <w:rFonts w:ascii="Times New Roman" w:hAnsi="Times New Roman" w:cs="Times New Roman"/>
          <w:sz w:val="24"/>
          <w:szCs w:val="24"/>
          <w:lang w:val="en-GB"/>
        </w:rPr>
        <w:t xml:space="preserve">(Brun et al., 2005; </w:t>
      </w:r>
      <w:r w:rsidR="00B33B41" w:rsidRPr="008C7E1B">
        <w:rPr>
          <w:rFonts w:ascii="Times New Roman" w:hAnsi="Times New Roman" w:cs="Times New Roman"/>
          <w:bCs/>
          <w:sz w:val="24"/>
          <w:szCs w:val="24"/>
          <w:lang w:val="fr-FR"/>
        </w:rPr>
        <w:fldChar w:fldCharType="begin" w:fldLock="1"/>
      </w:r>
      <w:r w:rsidR="00EE4776" w:rsidRPr="008A24A2">
        <w:rPr>
          <w:rFonts w:ascii="Times New Roman" w:hAnsi="Times New Roman" w:cs="Times New Roman"/>
          <w:bCs/>
          <w:sz w:val="24"/>
          <w:szCs w:val="24"/>
          <w:lang w:val="en-GB"/>
        </w:rPr>
        <w:instrText>ADDIN CSL_CITATION {"citationItems":[{"id":"ITEM-1","itemData":{"ISSN":"1935-1682","author":[{"dropping-particle":"","family":"Márquez-Ramos","given":"Laura","non-dropping-particle":"","parse-names":false,"suffix":""},{"dropping-particle":"","family":"Martínez-Zarzoso","given":"Inmaculada","non-dropping-particle":"","parse-names":false,"suffix":""},{"dropping-particle":"","family":"Suárez-Burguet","given":"Celestino","non-dropping-particle":"","parse-names":false,"suffix":""}],"container-title":"The BE Journal of Economic Analysis &amp; Policy","id":"ITEM-1","issue":"1","issued":{"date-parts":[["2007"]]},"publisher":"De Gruyter","title":"The Role of Distance in Gravity Regressions: Is There Really a Missing Globalisation Puzzle?","type":"article-journal","volume":"7"},"uris":["http://www.mendeley.com/documents/?uuid=46cb601d-d7f7-421c-b4dd-c332098b0f04"]}],"mendeley":{"formattedCitation":"(Márquez-Ramos et al., 2007)","manualFormatting":"Márquez-Ramos et .al 2007 ;","plainTextFormattedCitation":"(Márquez-Ramos et al., 2007)","previouslyFormattedCitation":"(Márquez-Ramos et al., 2007)"},"properties":{"noteIndex":0},"schema":"https://github.com/citation-style-language/schema/raw/master/csl-citation.json"}</w:instrText>
      </w:r>
      <w:r w:rsidR="00B33B41" w:rsidRPr="008C7E1B">
        <w:rPr>
          <w:rFonts w:ascii="Times New Roman" w:hAnsi="Times New Roman" w:cs="Times New Roman"/>
          <w:bCs/>
          <w:sz w:val="24"/>
          <w:szCs w:val="24"/>
          <w:lang w:val="fr-FR"/>
        </w:rPr>
        <w:fldChar w:fldCharType="separate"/>
      </w:r>
      <w:r w:rsidR="00B33B41" w:rsidRPr="00D92A7F">
        <w:rPr>
          <w:rFonts w:ascii="Times New Roman" w:hAnsi="Times New Roman" w:cs="Times New Roman"/>
          <w:bCs/>
          <w:sz w:val="24"/>
          <w:szCs w:val="24"/>
          <w:lang w:val="en-GB"/>
        </w:rPr>
        <w:t>Márquez-Ramos et</w:t>
      </w:r>
      <w:r w:rsidR="00574119">
        <w:rPr>
          <w:rFonts w:ascii="Times New Roman" w:hAnsi="Times New Roman" w:cs="Times New Roman"/>
          <w:bCs/>
          <w:sz w:val="24"/>
          <w:szCs w:val="24"/>
          <w:lang w:val="en-GB"/>
        </w:rPr>
        <w:t xml:space="preserve"> </w:t>
      </w:r>
      <w:r w:rsidR="00B33B41" w:rsidRPr="00D92A7F">
        <w:rPr>
          <w:rFonts w:ascii="Times New Roman" w:hAnsi="Times New Roman" w:cs="Times New Roman"/>
          <w:bCs/>
          <w:sz w:val="24"/>
          <w:szCs w:val="24"/>
          <w:lang w:val="en-GB"/>
        </w:rPr>
        <w:t>al</w:t>
      </w:r>
      <w:r w:rsidR="00574119">
        <w:rPr>
          <w:rFonts w:ascii="Times New Roman" w:hAnsi="Times New Roman" w:cs="Times New Roman"/>
          <w:bCs/>
          <w:sz w:val="24"/>
          <w:szCs w:val="24"/>
          <w:lang w:val="en-GB"/>
        </w:rPr>
        <w:t>.,</w:t>
      </w:r>
      <w:r w:rsidR="00B33B41" w:rsidRPr="00D92A7F">
        <w:rPr>
          <w:rFonts w:ascii="Times New Roman" w:hAnsi="Times New Roman" w:cs="Times New Roman"/>
          <w:bCs/>
          <w:sz w:val="24"/>
          <w:szCs w:val="24"/>
          <w:lang w:val="en-GB"/>
        </w:rPr>
        <w:t xml:space="preserve"> 2007 ;</w:t>
      </w:r>
      <w:r w:rsidR="00B33B41" w:rsidRPr="008C7E1B">
        <w:rPr>
          <w:rFonts w:ascii="Times New Roman" w:hAnsi="Times New Roman" w:cs="Times New Roman"/>
          <w:bCs/>
          <w:sz w:val="24"/>
          <w:szCs w:val="24"/>
          <w:lang w:val="fr-FR"/>
        </w:rPr>
        <w:fldChar w:fldCharType="end"/>
      </w:r>
      <w:r w:rsidR="00B33B41" w:rsidRPr="00D92A7F">
        <w:rPr>
          <w:rFonts w:ascii="Times New Roman" w:hAnsi="Times New Roman" w:cs="Times New Roman"/>
          <w:sz w:val="24"/>
          <w:szCs w:val="24"/>
          <w:lang w:val="en-GB"/>
        </w:rPr>
        <w:t xml:space="preserve"> Yotov et al., 2016)</w:t>
      </w:r>
      <w:r w:rsidR="00B33B41">
        <w:rPr>
          <w:rFonts w:ascii="Times New Roman" w:hAnsi="Times New Roman" w:cs="Times New Roman"/>
          <w:sz w:val="24"/>
          <w:szCs w:val="24"/>
        </w:rPr>
        <w:fldChar w:fldCharType="end"/>
      </w:r>
    </w:p>
    <w:p w:rsidR="00B33B41" w:rsidRDefault="00B33B41" w:rsidP="0074013D">
      <w:pPr>
        <w:spacing w:after="120" w:line="360" w:lineRule="auto"/>
        <w:jc w:val="both"/>
        <w:rPr>
          <w:rFonts w:ascii="Times New Roman" w:hAnsi="Times New Roman" w:cs="Times New Roman"/>
          <w:sz w:val="24"/>
          <w:szCs w:val="24"/>
        </w:rPr>
      </w:pPr>
      <w:r w:rsidRPr="00C339A0">
        <w:rPr>
          <w:rFonts w:ascii="Times New Roman" w:hAnsi="Times New Roman" w:cs="Times New Roman"/>
          <w:sz w:val="24"/>
          <w:szCs w:val="24"/>
        </w:rPr>
        <w:t>The coefficients</w:t>
      </w:r>
      <w:r w:rsidR="00F3760C">
        <w:rPr>
          <w:rFonts w:ascii="Times New Roman" w:hAnsi="Times New Roman" w:cs="Times New Roman"/>
          <w:sz w:val="24"/>
          <w:szCs w:val="24"/>
        </w:rPr>
        <w:t xml:space="preserve"> </w:t>
      </w:r>
      <w:r w:rsidR="00F3760C" w:rsidRPr="00D92A7F">
        <w:rPr>
          <w:rFonts w:asciiTheme="majorBidi" w:hAnsiTheme="majorBidi"/>
          <w:b/>
          <w:bCs/>
          <w:i/>
          <w:iCs/>
          <w:color w:val="000000" w:themeColor="text1"/>
          <w:lang w:val="en-GB"/>
        </w:rPr>
        <w:t>(</w:t>
      </w:r>
      <m:oMath>
        <m:sSub>
          <m:sSubPr>
            <m:ctrlPr>
              <w:rPr>
                <w:rFonts w:ascii="Cambria Math" w:hAnsi="Cambria Math"/>
                <w:b/>
                <w:i/>
                <w:color w:val="000000" w:themeColor="text1"/>
              </w:rPr>
            </m:ctrlPr>
          </m:sSubPr>
          <m:e>
            <m:r>
              <m:rPr>
                <m:sty m:val="bi"/>
              </m:rPr>
              <w:rPr>
                <w:rFonts w:ascii="Cambria Math" w:hAnsi="Cambria Math"/>
                <w:color w:val="000000" w:themeColor="text1"/>
              </w:rPr>
              <m:t>a</m:t>
            </m:r>
          </m:e>
          <m:sub>
            <m:r>
              <m:rPr>
                <m:sty m:val="bi"/>
              </m:rPr>
              <w:rPr>
                <w:rFonts w:ascii="Cambria Math" w:hAnsi="Cambria Math"/>
                <w:color w:val="000000" w:themeColor="text1"/>
              </w:rPr>
              <m:t>7</m:t>
            </m:r>
          </m:sub>
        </m:sSub>
        <m:r>
          <m:rPr>
            <m:sty m:val="bi"/>
          </m:rPr>
          <w:rPr>
            <w:rFonts w:ascii="Cambria Math" w:hAnsi="Cambria Math"/>
            <w:color w:val="000000" w:themeColor="text1"/>
            <w:lang w:val="en-GB"/>
          </w:rPr>
          <m:t xml:space="preserve"> </m:t>
        </m:r>
        <m:r>
          <m:rPr>
            <m:sty m:val="bi"/>
          </m:rPr>
          <w:rPr>
            <w:rFonts w:ascii="Cambria Math" w:hAnsi="Cambria Math"/>
            <w:color w:val="000000" w:themeColor="text1"/>
          </w:rPr>
          <m:t>to</m:t>
        </m:r>
        <m:r>
          <m:rPr>
            <m:sty m:val="bi"/>
          </m:rPr>
          <w:rPr>
            <w:rFonts w:ascii="Cambria Math" w:hAnsi="Cambria Math"/>
            <w:color w:val="000000" w:themeColor="text1"/>
            <w:lang w:val="en-GB"/>
          </w:rPr>
          <m:t xml:space="preserve"> </m:t>
        </m:r>
        <m:sSub>
          <m:sSubPr>
            <m:ctrlPr>
              <w:rPr>
                <w:rFonts w:ascii="Cambria Math" w:hAnsi="Cambria Math"/>
                <w:b/>
                <w:i/>
                <w:color w:val="000000" w:themeColor="text1"/>
              </w:rPr>
            </m:ctrlPr>
          </m:sSubPr>
          <m:e>
            <m:r>
              <m:rPr>
                <m:sty m:val="bi"/>
              </m:rPr>
              <w:rPr>
                <w:rFonts w:ascii="Cambria Math" w:hAnsi="Cambria Math"/>
                <w:color w:val="000000" w:themeColor="text1"/>
              </w:rPr>
              <m:t>a</m:t>
            </m:r>
          </m:e>
          <m:sub>
            <m:r>
              <m:rPr>
                <m:sty m:val="bi"/>
              </m:rPr>
              <w:rPr>
                <w:rFonts w:ascii="Cambria Math" w:hAnsi="Cambria Math"/>
                <w:color w:val="000000" w:themeColor="text1"/>
              </w:rPr>
              <m:t>11</m:t>
            </m:r>
          </m:sub>
        </m:sSub>
      </m:oMath>
      <w:r w:rsidR="00F3760C" w:rsidRPr="00D92A7F">
        <w:rPr>
          <w:rFonts w:asciiTheme="majorBidi" w:eastAsiaTheme="minorEastAsia" w:hAnsiTheme="majorBidi"/>
          <w:b/>
          <w:bCs/>
          <w:i/>
          <w:iCs/>
          <w:color w:val="000000" w:themeColor="text1"/>
          <w:lang w:val="en-GB"/>
        </w:rPr>
        <w:t>)</w:t>
      </w:r>
      <w:r w:rsidRPr="00C339A0">
        <w:rPr>
          <w:rFonts w:ascii="Times New Roman" w:hAnsi="Times New Roman" w:cs="Times New Roman"/>
          <w:sz w:val="24"/>
          <w:szCs w:val="24"/>
        </w:rPr>
        <w:t xml:space="preserve"> associated with</w:t>
      </w:r>
      <w:r>
        <w:rPr>
          <w:rFonts w:ascii="Times New Roman" w:hAnsi="Times New Roman" w:cs="Times New Roman"/>
          <w:sz w:val="24"/>
          <w:szCs w:val="24"/>
        </w:rPr>
        <w:t xml:space="preserve"> DIST, COMB, COML,</w:t>
      </w:r>
      <w:r w:rsidRPr="00742FBC">
        <w:rPr>
          <w:rFonts w:ascii="Times New Roman" w:hAnsi="Times New Roman" w:cs="Times New Roman"/>
          <w:sz w:val="24"/>
          <w:szCs w:val="24"/>
        </w:rPr>
        <w:t xml:space="preserve"> </w:t>
      </w:r>
      <w:r>
        <w:rPr>
          <w:rFonts w:ascii="Times New Roman" w:hAnsi="Times New Roman" w:cs="Times New Roman"/>
          <w:sz w:val="24"/>
          <w:szCs w:val="24"/>
        </w:rPr>
        <w:t>COMCOL and COL</w:t>
      </w:r>
      <w:r w:rsidRPr="00C339A0">
        <w:rPr>
          <w:rFonts w:ascii="Times New Roman" w:hAnsi="Times New Roman" w:cs="Times New Roman"/>
          <w:sz w:val="24"/>
          <w:szCs w:val="24"/>
        </w:rPr>
        <w:t xml:space="preserve"> are intended to capture the effect of physical distance, contiguous borders, common language, common history and colonial linkage on bilateral trade flow</w:t>
      </w:r>
      <w:r>
        <w:rPr>
          <w:rFonts w:ascii="Times New Roman" w:hAnsi="Times New Roman" w:cs="Times New Roman"/>
          <w:sz w:val="24"/>
          <w:szCs w:val="24"/>
        </w:rPr>
        <w:t>s</w:t>
      </w:r>
      <w:r w:rsidRPr="00C339A0">
        <w:rPr>
          <w:rFonts w:ascii="Times New Roman" w:hAnsi="Times New Roman" w:cs="Times New Roman"/>
          <w:sz w:val="24"/>
          <w:szCs w:val="24"/>
        </w:rPr>
        <w:t>.</w:t>
      </w:r>
      <w:r w:rsidR="00A134F2" w:rsidRPr="00A134F2">
        <w:rPr>
          <w:rFonts w:ascii="Times New Roman" w:hAnsi="Times New Roman" w:cs="Times New Roman"/>
          <w:sz w:val="24"/>
          <w:szCs w:val="24"/>
        </w:rPr>
        <w:t xml:space="preserve"> </w:t>
      </w:r>
      <w:r w:rsidR="00A134F2" w:rsidRPr="00C339A0">
        <w:rPr>
          <w:rFonts w:ascii="Times New Roman" w:hAnsi="Times New Roman" w:cs="Times New Roman"/>
          <w:sz w:val="24"/>
          <w:szCs w:val="24"/>
        </w:rPr>
        <w:t>Just as the traditional gravity p</w:t>
      </w:r>
      <w:r w:rsidR="00A134F2">
        <w:rPr>
          <w:rFonts w:ascii="Times New Roman" w:hAnsi="Times New Roman" w:cs="Times New Roman"/>
          <w:sz w:val="24"/>
          <w:szCs w:val="24"/>
        </w:rPr>
        <w:t>ostulates</w:t>
      </w:r>
      <w:r w:rsidR="00A134F2" w:rsidRPr="00C339A0">
        <w:rPr>
          <w:rFonts w:ascii="Times New Roman" w:hAnsi="Times New Roman" w:cs="Times New Roman"/>
          <w:sz w:val="24"/>
          <w:szCs w:val="24"/>
        </w:rPr>
        <w:t>, the distance coefficient (</w:t>
      </w:r>
      <m:oMath>
        <m:sSub>
          <m:sSubPr>
            <m:ctrlPr>
              <w:rPr>
                <w:rFonts w:ascii="Cambria Math" w:hAnsi="Cambria Math"/>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7</m:t>
            </m:r>
          </m:sub>
        </m:sSub>
        <m:r>
          <m:rPr>
            <m:sty m:val="p"/>
          </m:rPr>
          <w:rPr>
            <w:rFonts w:ascii="Cambria Math" w:hAnsi="Cambria Math" w:cs="Times New Roman"/>
            <w:sz w:val="24"/>
            <w:szCs w:val="24"/>
          </w:rPr>
          <m:t>)</m:t>
        </m:r>
      </m:oMath>
      <w:r w:rsidR="00A134F2" w:rsidRPr="00C45587">
        <w:rPr>
          <w:rFonts w:ascii="Times New Roman" w:hAnsi="Times New Roman" w:cs="Times New Roman"/>
          <w:sz w:val="24"/>
          <w:szCs w:val="24"/>
        </w:rPr>
        <w:t xml:space="preserve"> is expected to be negative since countries that </w:t>
      </w:r>
      <w:r w:rsidR="00A134F2">
        <w:rPr>
          <w:rFonts w:ascii="Times New Roman" w:hAnsi="Times New Roman" w:cs="Times New Roman"/>
          <w:sz w:val="24"/>
          <w:szCs w:val="24"/>
        </w:rPr>
        <w:t>are</w:t>
      </w:r>
      <w:r w:rsidR="00A134F2" w:rsidRPr="00C45587">
        <w:rPr>
          <w:rFonts w:ascii="Times New Roman" w:hAnsi="Times New Roman" w:cs="Times New Roman"/>
          <w:sz w:val="24"/>
          <w:szCs w:val="24"/>
        </w:rPr>
        <w:t xml:space="preserve"> far apart should trade less</w:t>
      </w:r>
      <w:r w:rsidR="00A134F2">
        <w:rPr>
          <w:rFonts w:ascii="Times New Roman" w:hAnsi="Times New Roman" w:cs="Times New Roman"/>
          <w:sz w:val="24"/>
          <w:szCs w:val="24"/>
        </w:rPr>
        <w:t xml:space="preserve"> because of trade cost</w:t>
      </w:r>
      <w:r w:rsidR="00A134F2" w:rsidRPr="00C45587">
        <w:rPr>
          <w:rFonts w:ascii="Times New Roman" w:hAnsi="Times New Roman" w:cs="Times New Roman"/>
          <w:sz w:val="24"/>
          <w:szCs w:val="24"/>
        </w:rPr>
        <w:t>. The border coefficient is (</w:t>
      </w:r>
      <m:oMath>
        <m:sSub>
          <m:sSubPr>
            <m:ctrlPr>
              <w:rPr>
                <w:rFonts w:ascii="Cambria Math" w:hAnsi="Cambria Math"/>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8</m:t>
            </m:r>
          </m:sub>
        </m:sSub>
        <m:r>
          <m:rPr>
            <m:sty m:val="p"/>
          </m:rPr>
          <w:rPr>
            <w:rFonts w:ascii="Cambria Math" w:hAnsi="Cambria Math" w:cs="Times New Roman"/>
            <w:sz w:val="24"/>
            <w:szCs w:val="24"/>
          </w:rPr>
          <m:t>)</m:t>
        </m:r>
      </m:oMath>
      <w:r w:rsidR="00A134F2" w:rsidRPr="00C45587">
        <w:rPr>
          <w:rFonts w:ascii="Times New Roman" w:hAnsi="Times New Roman" w:cs="Times New Roman"/>
          <w:sz w:val="24"/>
          <w:szCs w:val="24"/>
        </w:rPr>
        <w:t xml:space="preserve"> expected to be positive since common border should make countries trade more</w:t>
      </w:r>
      <w:r w:rsidR="00A134F2">
        <w:rPr>
          <w:rFonts w:ascii="Times New Roman" w:hAnsi="Times New Roman" w:cs="Times New Roman"/>
          <w:sz w:val="24"/>
          <w:szCs w:val="24"/>
        </w:rPr>
        <w:t xml:space="preserve"> and it sign is expected to be opposite to the sign of distance</w:t>
      </w:r>
      <w:r w:rsidR="00A134F2" w:rsidRPr="00C45587">
        <w:rPr>
          <w:rFonts w:ascii="Times New Roman" w:hAnsi="Times New Roman" w:cs="Times New Roman"/>
          <w:sz w:val="24"/>
          <w:szCs w:val="24"/>
        </w:rPr>
        <w:t>. The estimate</w:t>
      </w:r>
      <w:r w:rsidR="00A134F2">
        <w:rPr>
          <w:rFonts w:ascii="Times New Roman" w:hAnsi="Times New Roman" w:cs="Times New Roman"/>
          <w:sz w:val="24"/>
          <w:szCs w:val="24"/>
        </w:rPr>
        <w:t>s</w:t>
      </w:r>
      <w:r w:rsidR="00A134F2" w:rsidRPr="00C45587">
        <w:rPr>
          <w:rFonts w:ascii="Times New Roman" w:hAnsi="Times New Roman" w:cs="Times New Roman"/>
          <w:sz w:val="24"/>
          <w:szCs w:val="24"/>
        </w:rPr>
        <w:t xml:space="preserve"> for common language (</w:t>
      </w:r>
      <m:oMath>
        <m:sSub>
          <m:sSubPr>
            <m:ctrlPr>
              <w:rPr>
                <w:rFonts w:ascii="Cambria Math" w:hAnsi="Cambria Math"/>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9</m:t>
            </m:r>
          </m:sub>
        </m:sSub>
        <m:r>
          <m:rPr>
            <m:sty m:val="p"/>
          </m:rPr>
          <w:rPr>
            <w:rFonts w:ascii="Cambria Math" w:hAnsi="Cambria Math" w:cs="Times New Roman"/>
            <w:sz w:val="24"/>
            <w:szCs w:val="24"/>
          </w:rPr>
          <m:t>)</m:t>
        </m:r>
      </m:oMath>
      <w:r w:rsidR="00A134F2">
        <w:rPr>
          <w:rFonts w:ascii="Times New Roman" w:hAnsi="Times New Roman" w:cs="Times New Roman"/>
          <w:sz w:val="24"/>
          <w:szCs w:val="24"/>
        </w:rPr>
        <w:t xml:space="preserve"> </w:t>
      </w:r>
      <w:r w:rsidR="00A134F2" w:rsidRPr="00C45587">
        <w:rPr>
          <w:rFonts w:ascii="Times New Roman" w:hAnsi="Times New Roman" w:cs="Times New Roman"/>
          <w:sz w:val="24"/>
          <w:szCs w:val="24"/>
        </w:rPr>
        <w:t>and colony (</w:t>
      </w:r>
      <m:oMath>
        <m:sSub>
          <m:sSubPr>
            <m:ctrlPr>
              <w:rPr>
                <w:rFonts w:ascii="Cambria Math" w:hAnsi="Cambria Math"/>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10</m:t>
            </m:r>
          </m:sub>
        </m:sSub>
        <m:r>
          <m:rPr>
            <m:sty m:val="p"/>
          </m:rPr>
          <w:rPr>
            <w:rFonts w:ascii="Cambria Math" w:hAnsi="Cambria Math" w:cs="Times New Roman"/>
            <w:sz w:val="24"/>
            <w:szCs w:val="24"/>
          </w:rPr>
          <m:t>)</m:t>
        </m:r>
      </m:oMath>
      <w:r w:rsidR="00A134F2" w:rsidRPr="00C45587">
        <w:rPr>
          <w:rFonts w:ascii="Times New Roman" w:hAnsi="Times New Roman" w:cs="Times New Roman"/>
          <w:sz w:val="24"/>
          <w:szCs w:val="24"/>
        </w:rPr>
        <w:t xml:space="preserve"> </w:t>
      </w:r>
      <w:r w:rsidR="00A134F2">
        <w:rPr>
          <w:rFonts w:ascii="Times New Roman" w:hAnsi="Times New Roman" w:cs="Times New Roman"/>
          <w:sz w:val="24"/>
          <w:szCs w:val="24"/>
        </w:rPr>
        <w:t>are</w:t>
      </w:r>
      <w:r w:rsidR="00A134F2" w:rsidRPr="00C45587">
        <w:rPr>
          <w:rFonts w:ascii="Times New Roman" w:hAnsi="Times New Roman" w:cs="Times New Roman"/>
          <w:sz w:val="24"/>
          <w:szCs w:val="24"/>
        </w:rPr>
        <w:t xml:space="preserve"> expected to be positive. Sharing of </w:t>
      </w:r>
      <w:r w:rsidR="00A134F2">
        <w:rPr>
          <w:rFonts w:ascii="Times New Roman" w:hAnsi="Times New Roman" w:cs="Times New Roman"/>
          <w:sz w:val="24"/>
          <w:szCs w:val="24"/>
        </w:rPr>
        <w:t xml:space="preserve">a </w:t>
      </w:r>
      <w:r w:rsidR="00A134F2" w:rsidRPr="00C45587">
        <w:rPr>
          <w:rFonts w:ascii="Times New Roman" w:hAnsi="Times New Roman" w:cs="Times New Roman"/>
          <w:sz w:val="24"/>
          <w:szCs w:val="24"/>
        </w:rPr>
        <w:t xml:space="preserve">common language is expected to reduce trade cost and facilitate </w:t>
      </w:r>
      <w:r w:rsidR="00A134F2">
        <w:rPr>
          <w:rFonts w:ascii="Times New Roman" w:hAnsi="Times New Roman" w:cs="Times New Roman"/>
          <w:sz w:val="24"/>
          <w:szCs w:val="24"/>
        </w:rPr>
        <w:t xml:space="preserve">trade </w:t>
      </w:r>
      <w:r w:rsidR="00A134F2" w:rsidRPr="00C45587">
        <w:rPr>
          <w:rFonts w:ascii="Times New Roman" w:hAnsi="Times New Roman" w:cs="Times New Roman"/>
          <w:sz w:val="24"/>
          <w:szCs w:val="24"/>
        </w:rPr>
        <w:t xml:space="preserve">negotiations </w:t>
      </w:r>
      <w:r w:rsidR="00A134F2">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uthor":[{"dropping-particle":"","family":"Batra","given":"Amita","non-dropping-particle":"","parse-names":false,"suffix":""}],"id":"ITEM-1","issue":"151","issued":{"date-parts":[["2004"]]},"number":"151","number-of-pages":"1-43","publisher-place":"New Delhi","title":"India's Global Trade Potential : The Gravity Model Approach","type":"report"},"uris":["http://www.mendeley.com/documents/?uuid=a3c8e5fa-1eda-441e-b9d2-c0b63ad7d218"]}],"mendeley":{"formattedCitation":"(Batra, 2004)","plainTextFormattedCitation":"(Batra, 2004)","previouslyFormattedCitation":"(Batra, 2004)"},"properties":{"noteIndex":0},"schema":"https://github.com/citation-style-language/schema/raw/master/csl-citation.json"}</w:instrText>
      </w:r>
      <w:r w:rsidR="00A134F2">
        <w:rPr>
          <w:rFonts w:ascii="Times New Roman" w:hAnsi="Times New Roman" w:cs="Times New Roman"/>
          <w:sz w:val="24"/>
          <w:szCs w:val="24"/>
        </w:rPr>
        <w:fldChar w:fldCharType="separate"/>
      </w:r>
      <w:r w:rsidR="00A134F2" w:rsidRPr="005B68E3">
        <w:rPr>
          <w:rFonts w:ascii="Times New Roman" w:hAnsi="Times New Roman" w:cs="Times New Roman"/>
          <w:sz w:val="24"/>
          <w:szCs w:val="24"/>
        </w:rPr>
        <w:t>(Batra, 2004)</w:t>
      </w:r>
      <w:r w:rsidR="00A134F2">
        <w:rPr>
          <w:rFonts w:ascii="Times New Roman" w:hAnsi="Times New Roman" w:cs="Times New Roman"/>
          <w:sz w:val="24"/>
          <w:szCs w:val="24"/>
        </w:rPr>
        <w:fldChar w:fldCharType="end"/>
      </w:r>
      <w:r w:rsidR="00A134F2" w:rsidRPr="00C45587">
        <w:rPr>
          <w:rFonts w:ascii="Times New Roman" w:hAnsi="Times New Roman" w:cs="Times New Roman"/>
          <w:sz w:val="24"/>
          <w:szCs w:val="24"/>
        </w:rPr>
        <w:t xml:space="preserve"> . It is also </w:t>
      </w:r>
      <w:r w:rsidR="00A134F2">
        <w:rPr>
          <w:rFonts w:ascii="Times New Roman" w:hAnsi="Times New Roman" w:cs="Times New Roman"/>
          <w:sz w:val="24"/>
          <w:szCs w:val="24"/>
        </w:rPr>
        <w:t xml:space="preserve">assumed </w:t>
      </w:r>
      <w:r w:rsidR="00A134F2" w:rsidRPr="00C45587">
        <w:rPr>
          <w:rFonts w:ascii="Times New Roman" w:hAnsi="Times New Roman" w:cs="Times New Roman"/>
          <w:sz w:val="24"/>
          <w:szCs w:val="24"/>
        </w:rPr>
        <w:t xml:space="preserve">that having a colonial linkage is expected to reduce trade cost </w:t>
      </w:r>
      <w:r w:rsidR="00A134F2">
        <w:rPr>
          <w:rFonts w:ascii="Times New Roman" w:hAnsi="Times New Roman" w:cs="Times New Roman"/>
          <w:sz w:val="24"/>
          <w:szCs w:val="24"/>
        </w:rPr>
        <w:t xml:space="preserve">which might arise </w:t>
      </w:r>
      <w:r w:rsidR="00A134F2" w:rsidRPr="00C45587">
        <w:rPr>
          <w:rFonts w:ascii="Times New Roman" w:hAnsi="Times New Roman" w:cs="Times New Roman"/>
          <w:sz w:val="24"/>
          <w:szCs w:val="24"/>
        </w:rPr>
        <w:t>as a result of</w:t>
      </w:r>
      <w:r w:rsidR="00A134F2">
        <w:rPr>
          <w:rFonts w:ascii="Times New Roman" w:hAnsi="Times New Roman" w:cs="Times New Roman"/>
          <w:sz w:val="24"/>
          <w:szCs w:val="24"/>
        </w:rPr>
        <w:t xml:space="preserve"> </w:t>
      </w:r>
      <w:r w:rsidR="00A134F2" w:rsidRPr="00C45587">
        <w:rPr>
          <w:rFonts w:ascii="Times New Roman" w:hAnsi="Times New Roman" w:cs="Times New Roman"/>
          <w:sz w:val="24"/>
          <w:szCs w:val="24"/>
        </w:rPr>
        <w:t>cultural di</w:t>
      </w:r>
      <w:r w:rsidR="00A134F2">
        <w:rPr>
          <w:rFonts w:ascii="Times New Roman" w:hAnsi="Times New Roman" w:cs="Times New Roman"/>
          <w:sz w:val="24"/>
          <w:szCs w:val="24"/>
        </w:rPr>
        <w:t xml:space="preserve">sparity. </w:t>
      </w:r>
      <w:r w:rsidRPr="003273CC">
        <w:rPr>
          <w:rFonts w:ascii="Times New Roman" w:hAnsi="Times New Roman" w:cs="Times New Roman"/>
          <w:sz w:val="24"/>
          <w:szCs w:val="24"/>
        </w:rPr>
        <w:t xml:space="preserve">In recent structural gravity models, apart from distance and borders which are vastly used, common language and common colony and trade policies (FTAs and tariffs) are used as proxy for trade cost </w:t>
      </w:r>
      <w:r w:rsidRPr="003273CC">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BN":"9287043671","author":[{"dropping-particle":"V","family":"Yotov","given":"Yoto","non-dropping-particle":"","parse-names":false,"suffix":""},{"dropping-particle":"","family":"Piermartini","given":"Roberta","non-dropping-particle":"","parse-names":false,"suffix":""},{"dropping-particle":"","family":"Monteiro","given":"José-Antonio","non-dropping-particle":"","parse-names":false,"suffix":""},{"dropping-particle":"","family":"Larch","given":"Mario","non-dropping-particle":"","parse-names":false,"suffix":""}],"id":"ITEM-1","issued":{"date-parts":[["2016"]]},"publisher":"World Trade Organization","title":"An advanced guide to trade policy analysis: The structural gravity model","type":"book"},"uris":["http://www.mendeley.com/documents/?uuid=f043c798-1e8e-4edc-a1d7-1525a6573508"]},{"id":"ITEM-2","itemData":{"abstract":"In 1997, fourteen Arab countries concluded an agreement, aimed at achieving the Greater Arab Free Trade Area (GAFTA) by 1.1.2007 at the latest. This paper provides a first ex-post appraisal of the GAFTA agreement’s trade effects. Based on new theoretical developments of the gravity equation, we estimate a panel data model which covers trade within the GAFTA area as well as with 35 other reference countries, over the period 1988-2005. Several estimators are presented, especially transformed fixed-effects, Hausman and Taylor as well as a GMM dynamic estimator. As a main finding, the calculation of gross trade creation shows that regional trade has increased by 20% since GAFTA has been implemented.","author":[{"dropping-particle":"","family":"Abedini","given":"Javad","non-dropping-particle":"","parse-names":false,"suffix":""},{"dropping-particle":"","family":"Péridy","given":"Nicolas","non-dropping-particle":"","parse-names":false,"suffix":""}],"container-title":"Journal of Economic Integration","id":"ITEM-2","issue":"4","issued":{"date-parts":[["2008"]]},"page":"848-872","title":"The Greater Arab Free Trade Area ( GAFTA ): an Estimation of Its Trade Effects","type":"article-journal","volume":"23"},"uris":["http://www.mendeley.com/documents/?uuid=692a15d9-a06b-46ba-8b4e-4f162da75045"]}],"mendeley":{"formattedCitation":"(Abedini &amp; Péridy, 2008; Yotov et al., 2016)","plainTextFormattedCitation":"(Abedini &amp; Péridy, 2008; Yotov et al., 2016)","previouslyFormattedCitation":"(Abedini &amp; Péridy, 2008; Yotov et al., 2016)"},"properties":{"noteIndex":0},"schema":"https://github.com/citation-style-language/schema/raw/master/csl-citation.json"}</w:instrText>
      </w:r>
      <w:r w:rsidRPr="003273CC">
        <w:rPr>
          <w:rFonts w:ascii="Times New Roman" w:hAnsi="Times New Roman" w:cs="Times New Roman"/>
          <w:sz w:val="24"/>
          <w:szCs w:val="24"/>
        </w:rPr>
        <w:fldChar w:fldCharType="separate"/>
      </w:r>
      <w:r w:rsidRPr="003273CC">
        <w:rPr>
          <w:rFonts w:ascii="Times New Roman" w:hAnsi="Times New Roman" w:cs="Times New Roman"/>
          <w:sz w:val="24"/>
          <w:szCs w:val="24"/>
        </w:rPr>
        <w:t>(Abedini &amp; Péridy, 2008; Yotov et al., 2016)</w:t>
      </w:r>
      <w:r w:rsidRPr="003273CC">
        <w:rPr>
          <w:rFonts w:ascii="Times New Roman" w:hAnsi="Times New Roman" w:cs="Times New Roman"/>
          <w:sz w:val="24"/>
          <w:szCs w:val="24"/>
        </w:rPr>
        <w:fldChar w:fldCharType="end"/>
      </w:r>
      <w:r w:rsidRPr="003273CC">
        <w:rPr>
          <w:rFonts w:ascii="Times New Roman" w:hAnsi="Times New Roman" w:cs="Times New Roman"/>
          <w:sz w:val="24"/>
          <w:szCs w:val="24"/>
        </w:rPr>
        <w:t>. Quantifying trade cost</w:t>
      </w:r>
      <w:r w:rsidR="00F3760C">
        <w:rPr>
          <w:rFonts w:ascii="Times New Roman" w:hAnsi="Times New Roman" w:cs="Times New Roman"/>
          <w:sz w:val="24"/>
          <w:szCs w:val="24"/>
        </w:rPr>
        <w:t xml:space="preserve"> </w:t>
      </w:r>
      <w:r w:rsidRPr="003273CC">
        <w:rPr>
          <w:rFonts w:ascii="Times New Roman" w:hAnsi="Times New Roman" w:cs="Times New Roman"/>
          <w:sz w:val="24"/>
          <w:szCs w:val="24"/>
        </w:rPr>
        <w:t xml:space="preserve">(NTBs) in trade agreements usually requires large data which might be expensive and not easily accessible </w:t>
      </w:r>
      <w:r w:rsidRPr="003273CC">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1468-0327","author":[{"dropping-particle":"","family":"Felbermayr","given":"Gabriel","non-dropping-particle":"","parse-names":false,"suffix":""},{"dropping-particle":"","family":"Heid","given":"Benedikt","non-dropping-particle":"","parse-names":false,"suffix":""},{"dropping-particle":"","family":"Larch","given":"Mario","non-dropping-particle":"","parse-names":false,"suffix":""},{"dropping-particle":"","family":"Yalcin","given":"Erdal","non-dropping-particle":"","parse-names":false,"suffix":""}],"container-title":"Economic Policy","id":"ITEM-1","issue":"83","issued":{"date-parts":[["2015"]]},"page":"491-537","publisher":"Oxford University Press","title":"Macroeconomic potentials of transatlantic free trade: A high resolution perspective for Europe and the world","type":"article-journal","volume":"30"},"uris":["http://www.mendeley.com/documents/?uuid=6dd7f117-685a-442d-bfa0-f0b260dae824"]}],"mendeley":{"formattedCitation":"(Felbermayr, Heid, Larch, &amp; Yalcin, 2015)","manualFormatting":"(Felbermayr, et.al (2015)","plainTextFormattedCitation":"(Felbermayr, Heid, Larch, &amp; Yalcin, 2015)","previouslyFormattedCitation":"(Felbermayr, Heid, Larch, &amp; Yalcin, 2015)"},"properties":{"noteIndex":0},"schema":"https://github.com/citation-style-language/schema/raw/master/csl-citation.json"}</w:instrText>
      </w:r>
      <w:r w:rsidRPr="003273CC">
        <w:rPr>
          <w:rFonts w:ascii="Times New Roman" w:hAnsi="Times New Roman" w:cs="Times New Roman"/>
          <w:sz w:val="24"/>
          <w:szCs w:val="24"/>
        </w:rPr>
        <w:fldChar w:fldCharType="separate"/>
      </w:r>
      <w:r w:rsidRPr="003273CC">
        <w:rPr>
          <w:rFonts w:ascii="Times New Roman" w:hAnsi="Times New Roman" w:cs="Times New Roman"/>
          <w:sz w:val="24"/>
          <w:szCs w:val="24"/>
        </w:rPr>
        <w:t>(Felbermayr, et.al (2015)</w:t>
      </w:r>
      <w:r w:rsidRPr="003273CC">
        <w:rPr>
          <w:rFonts w:ascii="Times New Roman" w:hAnsi="Times New Roman" w:cs="Times New Roman"/>
          <w:sz w:val="24"/>
          <w:szCs w:val="24"/>
        </w:rPr>
        <w:fldChar w:fldCharType="end"/>
      </w:r>
      <w:r w:rsidRPr="003273CC">
        <w:rPr>
          <w:rFonts w:ascii="Times New Roman" w:hAnsi="Times New Roman" w:cs="Times New Roman"/>
          <w:sz w:val="24"/>
          <w:szCs w:val="24"/>
        </w:rPr>
        <w:t xml:space="preserve"> . Hence, a properly specified structural gravity equation helps to directly estimate Ad valorem equivalent of tariff (AVE) on a trade agreements without requiring external information on Non-tariff measures and tariff profiles. The AVE is obtained by using the coefficient from trade agreement dummy and using a reliable trade elasticity estimated from literatures  </w:t>
      </w:r>
      <w:r w:rsidRPr="003273CC">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1468-0327","author":[{"dropping-particle":"","family":"Felbermayr","given":"Gabriel","non-dropping-particle":"","parse-names":false,"suffix":""},{"dropping-particle":"","family":"Heid","given":"Benedikt","non-dropping-particle":"","parse-names":false,"suffix":""},{"dropping-particle":"","family":"Larch","given":"Mario","non-dropping-particle":"","parse-names":false,"suffix":""},{"dropping-particle":"","family":"Yalcin","given":"Erdal","non-dropping-particle":"","parse-names":false,"suffix":""}],"container-title":"Economic Policy","id":"ITEM-1","issue":"83","issued":{"date-parts":[["2015"]]},"page":"491-537","publisher":"Oxford University Press","title":"Macroeconomic potentials of transatlantic free trade: A high resolution perspective for Europe and the world","type":"article-journal","volume":"30"},"uris":["http://www.mendeley.com/documents/?uuid=6dd7f117-685a-442d-bfa0-f0b260dae824"]},{"id":"ITEM-2","itemData":{"ISBN":"9287043671","author":[{"dropping-particle":"V","family":"Yotov","given":"Yoto","non-dropping-particle":"","parse-names":false,"suffix":""},{"dropping-particle":"","family":"Piermartini","given":"Roberta","non-dropping-particle":"","parse-names":false,"suffix":""},{"dropping-particle":"","family":"Monteiro","given":"José-Antonio","non-dropping-particle":"","parse-names":false,"suffix":""},{"dropping-particle":"","family":"Larch","given":"Mario","non-dropping-particle":"","parse-names":false,"suffix":""}],"id":"ITEM-2","issued":{"date-parts":[["2016"]]},"publisher":"World Trade Organization","title":"An advanced guide to trade policy analysis: The structural gravity model","type":"book"},"uris":["http://www.mendeley.com/documents/?uuid=f043c798-1e8e-4edc-a1d7-1525a6573508"]}],"mendeley":{"formattedCitation":"(Felbermayr et al., 2015; Yotov et al., 2016)","plainTextFormattedCitation":"(Felbermayr et al., 2015; Yotov et al., 2016)","previouslyFormattedCitation":"(Felbermayr et al., 2015; Yotov et al., 2016)"},"properties":{"noteIndex":0},"schema":"https://github.com/citation-style-language/schema/raw/master/csl-citation.json"}</w:instrText>
      </w:r>
      <w:r w:rsidRPr="003273CC">
        <w:rPr>
          <w:rFonts w:ascii="Times New Roman" w:hAnsi="Times New Roman" w:cs="Times New Roman"/>
          <w:sz w:val="24"/>
          <w:szCs w:val="24"/>
        </w:rPr>
        <w:fldChar w:fldCharType="separate"/>
      </w:r>
      <w:r w:rsidRPr="003273CC">
        <w:rPr>
          <w:rFonts w:ascii="Times New Roman" w:hAnsi="Times New Roman" w:cs="Times New Roman"/>
          <w:sz w:val="24"/>
          <w:szCs w:val="24"/>
        </w:rPr>
        <w:t>(Felbermayr et al., 2015; Yotov et al., 2016)</w:t>
      </w:r>
      <w:r w:rsidRPr="003273CC">
        <w:rPr>
          <w:rFonts w:ascii="Times New Roman" w:hAnsi="Times New Roman" w:cs="Times New Roman"/>
          <w:sz w:val="24"/>
          <w:szCs w:val="24"/>
        </w:rPr>
        <w:fldChar w:fldCharType="end"/>
      </w:r>
      <w:r w:rsidRPr="003273CC">
        <w:rPr>
          <w:rFonts w:ascii="Times New Roman" w:hAnsi="Times New Roman" w:cs="Times New Roman"/>
          <w:sz w:val="24"/>
          <w:szCs w:val="24"/>
        </w:rPr>
        <w:t>.</w:t>
      </w:r>
      <w:r w:rsidRPr="003273CC">
        <w:rPr>
          <w:rStyle w:val="FootnoteReference"/>
          <w:rFonts w:cs="Arial"/>
        </w:rPr>
        <w:footnoteReference w:id="9"/>
      </w:r>
    </w:p>
    <w:p w:rsidR="00B33B41" w:rsidRPr="00CB31DF" w:rsidRDefault="00CB31DF" w:rsidP="00CB31DF">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coefficients </w:t>
      </w:r>
      <w:r w:rsidRPr="00AE5B3D">
        <w:rPr>
          <w:rFonts w:asciiTheme="majorBidi" w:hAnsiTheme="majorBidi" w:cstheme="majorBidi"/>
          <w:sz w:val="24"/>
          <w:szCs w:val="24"/>
        </w:rPr>
        <w:t>(</w:t>
      </w:r>
      <m:oMath>
        <m:sSub>
          <m:sSubPr>
            <m:ctrlPr>
              <w:rPr>
                <w:rFonts w:ascii="Cambria Math" w:hAnsi="Cambria Math" w:cstheme="majorBidi"/>
                <w:sz w:val="24"/>
                <w:szCs w:val="24"/>
              </w:rPr>
            </m:ctrlPr>
          </m:sSubPr>
          <m:e>
            <m:r>
              <m:rPr>
                <m:sty m:val="bi"/>
              </m:rPr>
              <w:rPr>
                <w:rFonts w:ascii="Cambria Math" w:hAnsi="Cambria Math" w:cstheme="majorBidi"/>
                <w:sz w:val="24"/>
                <w:szCs w:val="24"/>
              </w:rPr>
              <m:t>a</m:t>
            </m:r>
          </m:e>
          <m:sub>
            <m:r>
              <m:rPr>
                <m:sty m:val="b"/>
              </m:rPr>
              <w:rPr>
                <w:rFonts w:ascii="Cambria Math" w:hAnsi="Cambria Math" w:cstheme="majorBidi"/>
                <w:sz w:val="24"/>
                <w:szCs w:val="24"/>
              </w:rPr>
              <m:t>12</m:t>
            </m:r>
          </m:sub>
        </m:sSub>
        <m:r>
          <m:rPr>
            <m:sty m:val="p"/>
          </m:rPr>
          <w:rPr>
            <w:rFonts w:ascii="Cambria Math" w:hAnsi="Cambria Math" w:cstheme="majorBidi"/>
            <w:sz w:val="24"/>
            <w:szCs w:val="24"/>
          </w:rPr>
          <m:t xml:space="preserve"> </m:t>
        </m:r>
        <m:r>
          <m:rPr>
            <m:sty m:val="bi"/>
          </m:rPr>
          <w:rPr>
            <w:rFonts w:ascii="Cambria Math" w:hAnsi="Cambria Math" w:cstheme="majorBidi"/>
            <w:sz w:val="24"/>
            <w:szCs w:val="24"/>
          </w:rPr>
          <m:t>to</m:t>
        </m:r>
        <m:r>
          <m:rPr>
            <m:sty m:val="p"/>
          </m:rPr>
          <w:rPr>
            <w:rFonts w:ascii="Cambria Math" w:hAnsi="Cambria Math" w:cstheme="majorBidi"/>
            <w:sz w:val="24"/>
            <w:szCs w:val="24"/>
          </w:rPr>
          <m:t xml:space="preserve"> </m:t>
        </m:r>
        <m:sSub>
          <m:sSubPr>
            <m:ctrlPr>
              <w:rPr>
                <w:rFonts w:ascii="Cambria Math" w:hAnsi="Cambria Math" w:cstheme="majorBidi"/>
                <w:sz w:val="24"/>
                <w:szCs w:val="24"/>
              </w:rPr>
            </m:ctrlPr>
          </m:sSubPr>
          <m:e>
            <m:r>
              <m:rPr>
                <m:sty m:val="bi"/>
              </m:rPr>
              <w:rPr>
                <w:rFonts w:ascii="Cambria Math" w:hAnsi="Cambria Math" w:cstheme="majorBidi"/>
                <w:sz w:val="24"/>
                <w:szCs w:val="24"/>
              </w:rPr>
              <m:t>a</m:t>
            </m:r>
          </m:e>
          <m:sub>
            <m:r>
              <m:rPr>
                <m:sty m:val="b"/>
              </m:rPr>
              <w:rPr>
                <w:rFonts w:ascii="Cambria Math" w:hAnsi="Cambria Math" w:cstheme="majorBidi"/>
                <w:sz w:val="24"/>
                <w:szCs w:val="24"/>
              </w:rPr>
              <m:t>17</m:t>
            </m:r>
          </m:sub>
        </m:sSub>
        <m:r>
          <m:rPr>
            <m:sty m:val="p"/>
          </m:rPr>
          <w:rPr>
            <w:rFonts w:ascii="Cambria Math" w:hAnsi="Cambria Math" w:cstheme="majorBidi"/>
            <w:sz w:val="24"/>
            <w:szCs w:val="24"/>
          </w:rPr>
          <m:t>)</m:t>
        </m:r>
      </m:oMath>
      <w:r>
        <w:rPr>
          <w:rFonts w:asciiTheme="majorBidi" w:hAnsiTheme="majorBidi" w:cstheme="majorBidi"/>
          <w:sz w:val="24"/>
          <w:szCs w:val="24"/>
        </w:rPr>
        <w:t xml:space="preserve"> captures the </w:t>
      </w:r>
      <w:r w:rsidRPr="00C02F5E">
        <w:rPr>
          <w:rFonts w:ascii="Times New Roman" w:hAnsi="Times New Roman" w:cs="Times New Roman"/>
          <w:sz w:val="24"/>
          <w:szCs w:val="24"/>
        </w:rPr>
        <w:t xml:space="preserve">Viner's </w:t>
      </w:r>
      <w:r>
        <w:rPr>
          <w:rFonts w:ascii="Times New Roman" w:hAnsi="Times New Roman" w:cs="Times New Roman"/>
          <w:sz w:val="24"/>
          <w:szCs w:val="24"/>
        </w:rPr>
        <w:t>effect (</w:t>
      </w:r>
      <w:r w:rsidR="00AE5B3D" w:rsidRPr="00AE5B3D">
        <w:rPr>
          <w:rFonts w:asciiTheme="majorBidi" w:hAnsiTheme="majorBidi" w:cstheme="majorBidi"/>
          <w:sz w:val="24"/>
          <w:szCs w:val="24"/>
        </w:rPr>
        <w:t>Trade Creati</w:t>
      </w:r>
      <w:r>
        <w:rPr>
          <w:rFonts w:asciiTheme="majorBidi" w:hAnsiTheme="majorBidi" w:cstheme="majorBidi"/>
          <w:sz w:val="24"/>
          <w:szCs w:val="24"/>
        </w:rPr>
        <w:t>on</w:t>
      </w:r>
      <w:r w:rsidR="00AE5B3D" w:rsidRPr="00AE5B3D">
        <w:rPr>
          <w:rFonts w:asciiTheme="majorBidi" w:hAnsiTheme="majorBidi" w:cstheme="majorBidi"/>
          <w:sz w:val="24"/>
          <w:szCs w:val="24"/>
        </w:rPr>
        <w:t xml:space="preserve"> and Diver</w:t>
      </w:r>
      <w:r>
        <w:rPr>
          <w:rFonts w:asciiTheme="majorBidi" w:hAnsiTheme="majorBidi" w:cstheme="majorBidi"/>
          <w:sz w:val="24"/>
          <w:szCs w:val="24"/>
        </w:rPr>
        <w:t>sion).</w:t>
      </w:r>
      <w:r w:rsidR="00AE5B3D" w:rsidRPr="00AE5B3D">
        <w:rPr>
          <w:rFonts w:asciiTheme="majorBidi" w:hAnsiTheme="majorBidi" w:cstheme="majorBidi"/>
          <w:sz w:val="24"/>
          <w:szCs w:val="24"/>
        </w:rPr>
        <w:t xml:space="preserve"> </w:t>
      </w:r>
      <w:r w:rsidR="00B33B41">
        <w:rPr>
          <w:rFonts w:ascii="Times New Roman" w:hAnsi="Times New Roman" w:cs="Times New Roman"/>
          <w:sz w:val="24"/>
          <w:szCs w:val="24"/>
        </w:rPr>
        <w:t xml:space="preserve">Intuitively, regional trade is usually linked with trade creation or diversion. Dummy variables have been extensively utilized by literatures to capture the effect of </w:t>
      </w:r>
      <w:r w:rsidR="00B33B41" w:rsidRPr="00C02F5E">
        <w:rPr>
          <w:rFonts w:ascii="Times New Roman" w:hAnsi="Times New Roman" w:cs="Times New Roman"/>
          <w:sz w:val="24"/>
          <w:szCs w:val="24"/>
        </w:rPr>
        <w:t>Viner's trade creation and trade diversion</w:t>
      </w:r>
      <w:r w:rsidR="00B33B41">
        <w:rPr>
          <w:rFonts w:ascii="Times New Roman" w:hAnsi="Times New Roman" w:cs="Times New Roman"/>
          <w:sz w:val="24"/>
          <w:szCs w:val="24"/>
        </w:rPr>
        <w:t xml:space="preserve">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{"citationItems":[{"id":"ITEM-1","itemData":{"abstract":"In 1997, fourteen Arab countries concluded an agreement, aimed at achieving the Greater Arab Free Trade Area (GAFTA) by 1.1.2007 at the latest. This paper provides a first ex-post appraisal of the GAFTA agreement’s trade effects. Based on new theoretical developments of the gravity equation, we estimate a panel data model which covers trade within the GAFTA area as well as with 35 other reference countries, over the period 1988-2005. Several estimators are presented, especially transformed fixed-effects, Hausman and Taylor as well as a GMM dynamic estimator. As a main finding, the calculation of gross trade creation shows that regional trade has increased by 20% since GAFTA has been implemented.","author":[{"dropping-particle":"","family":"Abedini","given":"Javad","non-dropping-particle":"","parse-names":false,"suffix":""},{"dropping-particle":"","family":"Péridy","given":"Nicolas","non-dropping-particle":"","parse-names":false,"suffix":""}],"container-title":"Journal of Economic Integration","id":"ITEM-1","issue":"4","issued":{"date-parts":[["2008"]]},"page":"848-872","title":"The Greater Arab Free Trade Area ( GAFTA ): an Estimation of Its Trade Effects","type":"article-journal","volume":"23"},"uris":["http://www.mendeley.com/documents/?uuid=692a15d9-a06b-46ba-8b4e-4f162da75045"]},{"id":"ITEM-2","itemData":{"author":[{"dropping-particle":"","family":"Boughanmi","given":"Houcine","non-dropping-particle":"","parse-names":false,"suffix":""}],"container-title":"Journal of Economic Integration","id":"ITEM-2","issue":"March","issued":{"date-parts":[["2008"]]},"page":"42-56","title":"The Trade Potential of the Arab Gulf Cooperation Countries ( GCC ): A Gravity Model","type":"article-journal","volume":"23"},"uris":["http://www.mendeley.com/documents/?uuid=317ba9ae-0ee2-4fc5-98ce-07ffbb84dd2f"]}],"mendeley":{"formattedCitation":"(Abedini &amp; Péridy, 2008; Boughanmi, 2008)","manualFormatting":"(Abedini &amp; Péridy, 2008;Boughanmi, 2008)","plainTextFormattedCitation":"(Abedini &amp; Péridy, 2008; Boughanmi, 2008)","previouslyFormattedCitation":"(Abedini &amp; Péridy, 2008; Boughanmi, 2008)"},"properties":{"noteIndex":0},"schema":"https://github.com/citation-style-language/schema/raw/master/csl-citation.json"}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Pr>
          <w:rFonts w:ascii="Times New Roman" w:hAnsi="Times New Roman" w:cs="Times New Roman"/>
          <w:sz w:val="24"/>
          <w:szCs w:val="24"/>
        </w:rPr>
        <w:t>(Abedini &amp; Péridy, 2008;</w:t>
      </w:r>
      <w:r w:rsidR="00574119">
        <w:rPr>
          <w:rFonts w:ascii="Times New Roman" w:hAnsi="Times New Roman" w:cs="Times New Roman"/>
          <w:sz w:val="24"/>
          <w:szCs w:val="24"/>
        </w:rPr>
        <w:t xml:space="preserve"> </w:t>
      </w:r>
      <w:r w:rsidR="00B33B41" w:rsidRPr="005B68E3">
        <w:rPr>
          <w:rFonts w:ascii="Times New Roman" w:hAnsi="Times New Roman" w:cs="Times New Roman"/>
          <w:sz w:val="24"/>
          <w:szCs w:val="24"/>
        </w:rPr>
        <w:t>Boughanmi, 2008)</w:t>
      </w:r>
      <w:r w:rsidR="00B33B41">
        <w:rPr>
          <w:rFonts w:ascii="Times New Roman" w:hAnsi="Times New Roman" w:cs="Times New Roman"/>
          <w:sz w:val="24"/>
          <w:szCs w:val="24"/>
        </w:rPr>
        <w:fldChar w:fldCharType="end"/>
      </w:r>
      <w:r w:rsidR="00B33B41">
        <w:rPr>
          <w:rFonts w:ascii="Times New Roman" w:hAnsi="Times New Roman" w:cs="Times New Roman"/>
          <w:sz w:val="24"/>
          <w:szCs w:val="24"/>
        </w:rPr>
        <w:t xml:space="preserve">. </w:t>
      </w:r>
      <w:r w:rsidR="00B33B41">
        <w:rPr>
          <w:rFonts w:ascii="Times New Roman" w:hAnsi="Times New Roman" w:cs="Times New Roman"/>
          <w:sz w:val="24"/>
          <w:szCs w:val="24"/>
        </w:rPr>
        <w:lastRenderedPageBreak/>
        <w:t xml:space="preserve">According to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{"citationItems":[{"id":"ITEM-1","itemData":{"ISSN":"1062-9408","author":[{"dropping-particle":"","family":"Martinez-Zarzoso","given":"Inmaculada","non-dropping-particle":"","parse-names":false,"suffix":""},{"dropping-particle":"","family":"Felicitas","given":"Nowak-Lehmann D","non-dropping-particle":"","parse-names":false,"suffix":""},{"dropping-particle":"","family":"Horsewood","given":"Nicholas","non-dropping-particle":"","parse-names":false,"suffix":""}],"container-title":"The North American Journal of Economics and Finance","id":"ITEM-1","issue":"1","issued":{"date-parts":[["2009"]]},"page":"46-65","publisher":"Elsevier","title":"Are regional trading agreements beneficial?: Static and dynamic panel gravity models","type":"article-journal","volume":"20"},"uris":["http://www.mendeley.com/documents/?uuid=1bf97d9b-08a2-4b34-a8d8-4fd403ec4a88"]}],"mendeley":{"formattedCitation":"(Martinez-Zarzoso et al., 2009)","manualFormatting":"Martinez-Zarzoso et al.(2009)","plainTextFormattedCitation":"(Martinez-Zarzoso et al., 2009)","previouslyFormattedCitation":"(Martinez-Zarzoso et al., 2009)"},"properties":{"noteIndex":0},"schema":"https://github.com/citation-style-language/schema/raw/master/csl-citation.json"}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Pr>
          <w:rFonts w:ascii="Times New Roman" w:hAnsi="Times New Roman" w:cs="Times New Roman"/>
          <w:sz w:val="24"/>
          <w:szCs w:val="24"/>
        </w:rPr>
        <w:t>Martinez-Zarzoso et al.(</w:t>
      </w:r>
      <w:r w:rsidR="00B33B41" w:rsidRPr="0031059F">
        <w:rPr>
          <w:rFonts w:ascii="Times New Roman" w:hAnsi="Times New Roman" w:cs="Times New Roman"/>
          <w:sz w:val="24"/>
          <w:szCs w:val="24"/>
        </w:rPr>
        <w:t>2009)</w:t>
      </w:r>
      <w:r w:rsidR="00B33B41">
        <w:rPr>
          <w:rFonts w:ascii="Times New Roman" w:hAnsi="Times New Roman" w:cs="Times New Roman"/>
          <w:sz w:val="24"/>
          <w:szCs w:val="24"/>
        </w:rPr>
        <w:fldChar w:fldCharType="end"/>
      </w:r>
      <w:r w:rsidR="00B33B41">
        <w:rPr>
          <w:rFonts w:ascii="Times New Roman" w:hAnsi="Times New Roman" w:cs="Times New Roman"/>
          <w:sz w:val="24"/>
          <w:szCs w:val="24"/>
        </w:rPr>
        <w:t xml:space="preserve">, the </w:t>
      </w:r>
      <w:r w:rsidR="00B33B41" w:rsidRPr="00C02F5E">
        <w:rPr>
          <w:rFonts w:ascii="Times New Roman" w:hAnsi="Times New Roman" w:cs="Times New Roman"/>
          <w:sz w:val="24"/>
          <w:szCs w:val="24"/>
        </w:rPr>
        <w:t>Viner's</w:t>
      </w:r>
      <w:r w:rsidR="00B33B41">
        <w:rPr>
          <w:rFonts w:ascii="Times New Roman" w:hAnsi="Times New Roman" w:cs="Times New Roman"/>
          <w:sz w:val="24"/>
          <w:szCs w:val="24"/>
        </w:rPr>
        <w:t xml:space="preserve"> effect can be captured in three ways; the first proxies for intra-bloc trade (DIORA, GCC and GAFTA), </w:t>
      </w:r>
      <w:r w:rsidR="00B33B41" w:rsidRPr="00C02F5E">
        <w:rPr>
          <w:rFonts w:ascii="Times New Roman" w:hAnsi="Times New Roman" w:cs="Times New Roman"/>
          <w:sz w:val="24"/>
          <w:szCs w:val="24"/>
        </w:rPr>
        <w:t xml:space="preserve">second </w:t>
      </w:r>
      <w:r w:rsidR="00B33B41">
        <w:rPr>
          <w:rFonts w:ascii="Times New Roman" w:hAnsi="Times New Roman" w:cs="Times New Roman"/>
          <w:sz w:val="24"/>
          <w:szCs w:val="24"/>
        </w:rPr>
        <w:t>proxies</w:t>
      </w:r>
      <w:r w:rsidR="00B33B41" w:rsidRPr="00C02F5E">
        <w:rPr>
          <w:rFonts w:ascii="Times New Roman" w:hAnsi="Times New Roman" w:cs="Times New Roman"/>
          <w:sz w:val="24"/>
          <w:szCs w:val="24"/>
        </w:rPr>
        <w:t xml:space="preserve"> </w:t>
      </w:r>
      <w:r w:rsidR="00B33B41">
        <w:rPr>
          <w:rFonts w:ascii="Times New Roman" w:hAnsi="Times New Roman" w:cs="Times New Roman"/>
          <w:sz w:val="24"/>
          <w:szCs w:val="24"/>
        </w:rPr>
        <w:t xml:space="preserve">for </w:t>
      </w:r>
      <w:r w:rsidR="00B33B41" w:rsidRPr="00C02F5E">
        <w:rPr>
          <w:rFonts w:ascii="Times New Roman" w:hAnsi="Times New Roman" w:cs="Times New Roman"/>
          <w:sz w:val="24"/>
          <w:szCs w:val="24"/>
        </w:rPr>
        <w:t>members’ imp</w:t>
      </w:r>
      <w:r w:rsidR="00B33B41">
        <w:rPr>
          <w:rFonts w:ascii="Times New Roman" w:hAnsi="Times New Roman" w:cs="Times New Roman"/>
          <w:sz w:val="24"/>
          <w:szCs w:val="24"/>
        </w:rPr>
        <w:t xml:space="preserve">orts from non-members and third proxies for </w:t>
      </w:r>
      <w:r w:rsidR="00B33B41" w:rsidRPr="00C02F5E">
        <w:rPr>
          <w:rFonts w:ascii="Times New Roman" w:hAnsi="Times New Roman" w:cs="Times New Roman"/>
          <w:sz w:val="24"/>
          <w:szCs w:val="24"/>
        </w:rPr>
        <w:t>members’ exports to non-members</w:t>
      </w:r>
      <w:r w:rsidR="00B33B41">
        <w:rPr>
          <w:rFonts w:ascii="Times New Roman" w:hAnsi="Times New Roman" w:cs="Times New Roman"/>
          <w:sz w:val="24"/>
          <w:szCs w:val="24"/>
        </w:rPr>
        <w:t>-extra bloc (DIORAX</w:t>
      </w:r>
      <w:r w:rsidR="00B33B41" w:rsidRPr="00C02F5E">
        <w:rPr>
          <w:rFonts w:ascii="Times New Roman" w:hAnsi="Times New Roman" w:cs="Times New Roman"/>
          <w:sz w:val="24"/>
          <w:szCs w:val="24"/>
        </w:rPr>
        <w:t>)</w:t>
      </w:r>
      <w:r w:rsidR="00B33B41">
        <w:rPr>
          <w:rFonts w:ascii="Times New Roman" w:hAnsi="Times New Roman" w:cs="Times New Roman"/>
          <w:sz w:val="24"/>
          <w:szCs w:val="24"/>
        </w:rPr>
        <w:t xml:space="preserve">. This similar approach was used by </w:t>
      </w:r>
      <w:r w:rsidR="00B33B41">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{"citationItems":[{"id":"ITEM-1","itemData":{"author":[{"dropping-particle":"","family":"Boughanmi","given":"Houcine","non-dropping-particle":"","parse-names":false,"suffix":""}],"container-title":"Journal of Economic Integration","id":"ITEM-1","issue":"March","issued":{"date-parts":[["2008"]]},"page":"42-56","title":"The Trade Potential of the Arab Gulf Cooperation Countries ( GCC ): A Gravity Model","type":"article-journal","volume":"23"},"uris":["http://www.mendeley.com/documents/?uuid=317ba9ae-0ee2-4fc5-98ce-07ffbb84dd2f"]}],"mendeley":{"formattedCitation":"(Boughanmi, 2008)","manualFormatting":"Boughanmi (2008)","plainTextFormattedCitation":"(Boughanmi, 2008)","previouslyFormattedCitation":"(Boughanmi, 2008)"},"properties":{"noteIndex":0},"schema":"https://github.com/citation-style-language/schema/raw/master/csl-citation.json"}</w:instrText>
      </w:r>
      <w:r w:rsidR="00B33B41">
        <w:rPr>
          <w:rFonts w:ascii="Times New Roman" w:hAnsi="Times New Roman" w:cs="Times New Roman"/>
          <w:sz w:val="24"/>
          <w:szCs w:val="24"/>
        </w:rPr>
        <w:fldChar w:fldCharType="separate"/>
      </w:r>
      <w:r w:rsidR="00B33B41">
        <w:rPr>
          <w:rFonts w:ascii="Times New Roman" w:hAnsi="Times New Roman" w:cs="Times New Roman"/>
          <w:sz w:val="24"/>
          <w:szCs w:val="24"/>
        </w:rPr>
        <w:t>Boughanmi</w:t>
      </w:r>
      <w:r w:rsidR="00B33B41" w:rsidRPr="002D0FB3">
        <w:rPr>
          <w:rFonts w:ascii="Times New Roman" w:hAnsi="Times New Roman" w:cs="Times New Roman"/>
          <w:sz w:val="24"/>
          <w:szCs w:val="24"/>
        </w:rPr>
        <w:t xml:space="preserve"> </w:t>
      </w:r>
      <w:r w:rsidR="00B33B41">
        <w:rPr>
          <w:rFonts w:ascii="Times New Roman" w:hAnsi="Times New Roman" w:cs="Times New Roman"/>
          <w:sz w:val="24"/>
          <w:szCs w:val="24"/>
        </w:rPr>
        <w:t>(</w:t>
      </w:r>
      <w:r w:rsidR="00B33B41" w:rsidRPr="002D0FB3">
        <w:rPr>
          <w:rFonts w:ascii="Times New Roman" w:hAnsi="Times New Roman" w:cs="Times New Roman"/>
          <w:sz w:val="24"/>
          <w:szCs w:val="24"/>
        </w:rPr>
        <w:t>2008)</w:t>
      </w:r>
      <w:r w:rsidR="00B33B41">
        <w:rPr>
          <w:rFonts w:ascii="Times New Roman" w:hAnsi="Times New Roman" w:cs="Times New Roman"/>
          <w:sz w:val="24"/>
          <w:szCs w:val="24"/>
        </w:rPr>
        <w:fldChar w:fldCharType="end"/>
      </w:r>
      <w:r w:rsidR="00F713A4">
        <w:rPr>
          <w:rFonts w:ascii="Times New Roman" w:hAnsi="Times New Roman" w:cs="Times New Roman"/>
          <w:sz w:val="24"/>
          <w:szCs w:val="24"/>
        </w:rPr>
        <w:t>. In this study</w:t>
      </w:r>
      <w:r w:rsidR="00B33B41">
        <w:rPr>
          <w:rFonts w:ascii="Times New Roman" w:hAnsi="Times New Roman" w:cs="Times New Roman"/>
          <w:sz w:val="24"/>
          <w:szCs w:val="24"/>
        </w:rPr>
        <w:t>, IORA export to other preferential blocs was captured by IORGCC and IORGAFTA. In particular, if DIORA (</w:t>
      </w:r>
      <m:oMath>
        <m:sSub>
          <m:sSubPr>
            <m:ctrlPr>
              <w:rPr>
                <w:rFonts w:ascii="Cambria Math" w:hAnsi="Cambria Math"/>
                <w:b/>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12</m:t>
            </m:r>
          </m:sub>
        </m:sSub>
        <m:r>
          <m:rPr>
            <m:sty m:val="bi"/>
          </m:rPr>
          <w:rPr>
            <w:rFonts w:ascii="Cambria Math" w:hAnsi="Cambria Math" w:cs="Times New Roman"/>
            <w:sz w:val="24"/>
            <w:szCs w:val="24"/>
          </w:rPr>
          <m:t>)</m:t>
        </m:r>
      </m:oMath>
      <w:r w:rsidR="00B33B41">
        <w:rPr>
          <w:rFonts w:ascii="Times New Roman" w:hAnsi="Times New Roman" w:cs="Times New Roman"/>
          <w:sz w:val="24"/>
          <w:szCs w:val="24"/>
        </w:rPr>
        <w:t xml:space="preserve"> coefficient estimate is positive and significant, it indicates that IORA countries trade more with each other. The DIORAX (</w:t>
      </w:r>
      <m:oMath>
        <m:sSub>
          <m:sSubPr>
            <m:ctrlPr>
              <w:rPr>
                <w:rFonts w:ascii="Cambria Math" w:hAnsi="Cambria Math"/>
                <w:b/>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13</m:t>
            </m:r>
          </m:sub>
        </m:sSub>
        <m:r>
          <m:rPr>
            <m:sty m:val="bi"/>
          </m:rPr>
          <w:rPr>
            <w:rFonts w:ascii="Cambria Math" w:hAnsi="Cambria Math" w:cs="Times New Roman"/>
            <w:sz w:val="24"/>
            <w:szCs w:val="24"/>
          </w:rPr>
          <m:t>)</m:t>
        </m:r>
      </m:oMath>
      <w:r w:rsidR="00B33B41">
        <w:rPr>
          <w:rFonts w:ascii="Times New Roman" w:hAnsi="Times New Roman" w:cs="Times New Roman"/>
          <w:sz w:val="24"/>
          <w:szCs w:val="24"/>
        </w:rPr>
        <w:t xml:space="preserve"> variable captures the degree of openness and can explain if the increase in intra-IORA trade export is at expense of the welfare of non-IORA members. If both DIORA (</w:t>
      </w:r>
      <m:oMath>
        <m:sSub>
          <m:sSubPr>
            <m:ctrlPr>
              <w:rPr>
                <w:rFonts w:ascii="Cambria Math" w:hAnsi="Cambria Math"/>
                <w:b/>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12</m:t>
            </m:r>
          </m:sub>
        </m:sSub>
        <m:r>
          <m:rPr>
            <m:sty m:val="bi"/>
          </m:rPr>
          <w:rPr>
            <w:rFonts w:ascii="Cambria Math" w:hAnsi="Cambria Math" w:cs="Times New Roman"/>
            <w:sz w:val="24"/>
            <w:szCs w:val="24"/>
          </w:rPr>
          <m:t>)</m:t>
        </m:r>
      </m:oMath>
      <w:r w:rsidR="00B33B41">
        <w:rPr>
          <w:rFonts w:ascii="Times New Roman" w:eastAsiaTheme="minorEastAsia" w:hAnsi="Times New Roman" w:cs="Times New Roman"/>
          <w:b/>
          <w:bCs/>
          <w:sz w:val="24"/>
          <w:szCs w:val="24"/>
        </w:rPr>
        <w:t xml:space="preserve"> </w:t>
      </w:r>
      <w:r w:rsidR="00B33B41">
        <w:rPr>
          <w:rFonts w:ascii="Times New Roman" w:eastAsiaTheme="minorEastAsia" w:hAnsi="Times New Roman" w:cs="Times New Roman"/>
          <w:sz w:val="24"/>
          <w:szCs w:val="24"/>
        </w:rPr>
        <w:t xml:space="preserve">and </w:t>
      </w:r>
      <w:r w:rsidR="00B33B41">
        <w:rPr>
          <w:rFonts w:ascii="Times New Roman" w:hAnsi="Times New Roman" w:cs="Times New Roman"/>
          <w:sz w:val="24"/>
          <w:szCs w:val="24"/>
        </w:rPr>
        <w:t>DIORAX (</w:t>
      </w:r>
      <m:oMath>
        <m:sSub>
          <m:sSubPr>
            <m:ctrlPr>
              <w:rPr>
                <w:rFonts w:ascii="Cambria Math" w:hAnsi="Cambria Math"/>
                <w:b/>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13</m:t>
            </m:r>
          </m:sub>
        </m:sSub>
        <m:r>
          <m:rPr>
            <m:sty m:val="bi"/>
          </m:rPr>
          <w:rPr>
            <w:rFonts w:ascii="Cambria Math" w:hAnsi="Cambria Math" w:cs="Times New Roman"/>
            <w:sz w:val="24"/>
            <w:szCs w:val="24"/>
          </w:rPr>
          <m:t>)</m:t>
        </m:r>
      </m:oMath>
      <w:r w:rsidR="00B33B41">
        <w:rPr>
          <w:rFonts w:ascii="Times New Roman" w:hAnsi="Times New Roman" w:cs="Times New Roman"/>
          <w:sz w:val="24"/>
          <w:szCs w:val="24"/>
        </w:rPr>
        <w:t xml:space="preserve"> coefficient estimate is positive and significant, it indicates export creation, whereas a negative and significant coefficient estimate of DIORAX (</w:t>
      </w:r>
      <m:oMath>
        <m:sSub>
          <m:sSubPr>
            <m:ctrlPr>
              <w:rPr>
                <w:rFonts w:ascii="Cambria Math" w:hAnsi="Cambria Math"/>
                <w:b/>
              </w:rPr>
            </m:ctrlPr>
          </m:sSubPr>
          <m:e>
            <m:r>
              <m:rPr>
                <m:sty m:val="bi"/>
              </m:rPr>
              <w:rPr>
                <w:rFonts w:ascii="Cambria Math" w:hAnsi="Cambria Math" w:cs="Times New Roman"/>
                <w:sz w:val="24"/>
                <w:szCs w:val="24"/>
              </w:rPr>
              <m:t>a</m:t>
            </m:r>
          </m:e>
          <m:sub>
            <m:r>
              <m:rPr>
                <m:sty m:val="b"/>
              </m:rPr>
              <w:rPr>
                <w:rFonts w:ascii="Cambria Math" w:hAnsi="Cambria Math" w:cs="Times New Roman"/>
                <w:sz w:val="24"/>
                <w:szCs w:val="24"/>
              </w:rPr>
              <m:t>13</m:t>
            </m:r>
          </m:sub>
        </m:sSub>
        <m:r>
          <m:rPr>
            <m:sty m:val="bi"/>
          </m:rPr>
          <w:rPr>
            <w:rFonts w:ascii="Cambria Math" w:hAnsi="Cambria Math" w:cs="Times New Roman"/>
            <w:sz w:val="24"/>
            <w:szCs w:val="24"/>
          </w:rPr>
          <m:t>)</m:t>
        </m:r>
      </m:oMath>
      <w:r w:rsidR="00B33B41">
        <w:rPr>
          <w:rFonts w:ascii="Times New Roman" w:hAnsi="Times New Roman" w:cs="Times New Roman"/>
          <w:sz w:val="24"/>
          <w:szCs w:val="24"/>
        </w:rPr>
        <w:t xml:space="preserve"> reflects export diversion.</w:t>
      </w:r>
    </w:p>
    <w:p w:rsidR="00A21F04" w:rsidRPr="00382EA3" w:rsidRDefault="00A21F04" w:rsidP="00A21F04">
      <w:pPr>
        <w:spacing w:after="0" w:line="360" w:lineRule="auto"/>
        <w:ind w:right="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line with of the objectives of this study</w:t>
      </w:r>
      <w:r w:rsidR="00A134F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the </w:t>
      </w:r>
      <w:r>
        <w:rPr>
          <w:rFonts w:ascii="Times New Roman" w:hAnsi="Times New Roman" w:cs="Times New Roman"/>
          <w:sz w:val="24"/>
          <w:szCs w:val="24"/>
        </w:rPr>
        <w:t>export potential of Oman with IORA is estimated. Trade potential is the ratio of actual trade to predicted trade</w:t>
      </w:r>
      <w:r w:rsidRPr="006B6E82">
        <w:rPr>
          <w:rFonts w:ascii="Times New Roman" w:hAnsi="Times New Roman" w:cs="Times New Roman"/>
          <w:color w:val="000000" w:themeColor="text1"/>
          <w:sz w:val="24"/>
          <w:szCs w:val="24"/>
        </w:rPr>
        <w:t>.</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Following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{"citationItems":[{"id":"ITEM-1","itemData":{"DOI":"10.2202/1538-0653.1386","ISBN":"1935-1682","ISSN":"15380653","abstract":"International bilateral trade, Gravity model, Trade potentials, Dynamic Panel Data, System-GMM estimator","author":[{"dropping-particle":"","family":"Benedictis","given":"Luca","non-dropping-particle":"De","parse-names":false,"suffix":""},{"dropping-particle":"","family":"Vicarelli","given":"Claudio","non-dropping-particle":"","parse-names":false,"suffix":""}],"container-title":"Topics in Economic Analysis &amp; Policy","id":"ITEM-1","issue":"1","issued":{"date-parts":[["2005"]]},"page":"1-31","title":"Trade Potentials in Gravity Panel Data Models","type":"article-journal","volume":"5"},"uris":["http://www.mendeley.com/documents/?uuid=b6420216-ee94-4df3-9d9b-c2112f55305a"]}],"mendeley":{"formattedCitation":"(De Benedictis &amp; Vicarelli, 2005)","manualFormatting":"De Benedictis &amp; Vicarelli, (2005)","plainTextFormattedCitation":"(De Benedictis &amp; Vicarelli, 2005)","previouslyFormattedCitation":"(De Benedictis &amp; Vicarelli, 2005)"},"properties":{"noteIndex":0},"schema":"https://github.com/citation-style-language/schema/raw/master/csl-citation.json"}</w:instrText>
      </w:r>
      <w:r>
        <w:rPr>
          <w:rFonts w:ascii="Times New Roman" w:hAnsi="Times New Roman" w:cs="Times New Roman"/>
          <w:sz w:val="24"/>
          <w:szCs w:val="24"/>
        </w:rPr>
        <w:fldChar w:fldCharType="separate"/>
      </w:r>
      <w:r w:rsidRPr="00616D32">
        <w:rPr>
          <w:rFonts w:ascii="Times New Roman" w:hAnsi="Times New Roman" w:cs="Times New Roman"/>
          <w:sz w:val="24"/>
          <w:szCs w:val="24"/>
        </w:rPr>
        <w:t xml:space="preserve">De Benedictis &amp; Vicarelli, </w:t>
      </w:r>
      <w:r>
        <w:rPr>
          <w:rFonts w:ascii="Times New Roman" w:hAnsi="Times New Roman" w:cs="Times New Roman"/>
          <w:sz w:val="24"/>
          <w:szCs w:val="24"/>
        </w:rPr>
        <w:t>(</w:t>
      </w:r>
      <w:r w:rsidRPr="00616D32">
        <w:rPr>
          <w:rFonts w:ascii="Times New Roman" w:hAnsi="Times New Roman" w:cs="Times New Roman"/>
          <w:sz w:val="24"/>
          <w:szCs w:val="24"/>
        </w:rPr>
        <w:t>2005)</w:t>
      </w:r>
      <w:r>
        <w:rPr>
          <w:rFonts w:ascii="Times New Roman" w:hAnsi="Times New Roman" w:cs="Times New Roman"/>
          <w:sz w:val="24"/>
          <w:szCs w:val="24"/>
        </w:rPr>
        <w:fldChar w:fldCharType="end"/>
      </w:r>
      <w:r>
        <w:rPr>
          <w:rFonts w:ascii="Times New Roman" w:hAnsi="Times New Roman" w:cs="Times New Roman"/>
          <w:sz w:val="24"/>
          <w:szCs w:val="24"/>
        </w:rPr>
        <w:t xml:space="preserve"> , the in-sample export potential is estimated as :</w:t>
      </w:r>
    </w:p>
    <w:p w:rsidR="00A21F04" w:rsidRDefault="009B786B" w:rsidP="00574119">
      <w:pPr>
        <w:spacing w:after="0" w:line="360" w:lineRule="auto"/>
        <w:ind w:left="576" w:right="360" w:firstLine="1296"/>
        <w:jc w:val="both"/>
        <w:rPr>
          <w:rFonts w:ascii="Times New Roman" w:eastAsiaTheme="minorEastAsia" w:hAnsi="Times New Roman" w:cs="Times New Roman"/>
          <w:sz w:val="24"/>
          <w:szCs w:val="24"/>
        </w:rPr>
      </w:pPr>
      <m:oMath>
        <m:box>
          <m:boxPr>
            <m:opEmu m:val="1"/>
            <m:ctrlPr>
              <w:rPr>
                <w:rFonts w:ascii="Cambria Math" w:hAnsi="Cambria Math"/>
                <w:i/>
              </w:rPr>
            </m:ctrlPr>
          </m:boxPr>
          <m:e>
            <m:r>
              <w:rPr>
                <w:rFonts w:ascii="Cambria Math" w:hAnsi="Cambria Math" w:cs="Times New Roman"/>
                <w:sz w:val="24"/>
                <w:szCs w:val="24"/>
              </w:rPr>
              <m:t>POTTRADE=</m:t>
            </m:r>
            <m:f>
              <m:fPr>
                <m:ctrlPr>
                  <w:rPr>
                    <w:rFonts w:ascii="Cambria Math" w:hAnsi="Cambria Math"/>
                    <w:i/>
                  </w:rPr>
                </m:ctrlPr>
              </m:fPr>
              <m:num>
                <m:r>
                  <w:rPr>
                    <w:rFonts w:ascii="Cambria Math" w:hAnsi="Cambria Math" w:cs="Times New Roman"/>
                    <w:sz w:val="24"/>
                    <w:szCs w:val="24"/>
                  </w:rPr>
                  <m:t>EFFTRADE</m:t>
                </m:r>
              </m:num>
              <m:den>
                <m:r>
                  <w:rPr>
                    <w:rFonts w:ascii="Cambria Math" w:hAnsi="Cambria Math" w:cs="Times New Roman"/>
                    <w:sz w:val="24"/>
                    <w:szCs w:val="24"/>
                  </w:rPr>
                  <m:t>FITTRADE</m:t>
                </m:r>
              </m:den>
            </m:f>
          </m:e>
        </m:box>
      </m:oMath>
      <w:r w:rsidR="00A21F04">
        <w:rPr>
          <w:rFonts w:ascii="Times New Roman" w:eastAsiaTheme="minorEastAsia" w:hAnsi="Times New Roman" w:cs="Times New Roman"/>
          <w:sz w:val="24"/>
          <w:szCs w:val="24"/>
        </w:rPr>
        <w:t xml:space="preserve"> </w:t>
      </w:r>
      <w:r w:rsidR="00574119">
        <w:rPr>
          <w:rFonts w:ascii="Times New Roman" w:eastAsiaTheme="minorEastAsia" w:hAnsi="Times New Roman" w:cs="Times New Roman"/>
          <w:sz w:val="24"/>
          <w:szCs w:val="24"/>
        </w:rPr>
        <w:t xml:space="preserve">                                           </w:t>
      </w:r>
      <w:r w:rsidR="00A21F04">
        <w:rPr>
          <w:rFonts w:ascii="Times New Roman" w:eastAsiaTheme="minorEastAsia" w:hAnsi="Times New Roman" w:cs="Times New Roman"/>
          <w:sz w:val="24"/>
          <w:szCs w:val="24"/>
        </w:rPr>
        <w:t>(2)</w:t>
      </w:r>
    </w:p>
    <w:p w:rsidR="000A0FBA" w:rsidRPr="000A0FBA" w:rsidRDefault="000A0FBA" w:rsidP="000A0FBA">
      <w:pPr>
        <w:spacing w:after="0" w:line="360" w:lineRule="auto"/>
        <w:ind w:left="576" w:right="360" w:firstLine="1296"/>
        <w:jc w:val="both"/>
        <w:rPr>
          <w:rFonts w:ascii="Times New Roman" w:eastAsiaTheme="minorEastAsia" w:hAnsi="Times New Roman" w:cs="Times New Roman"/>
          <w:sz w:val="24"/>
          <w:szCs w:val="24"/>
        </w:rPr>
      </w:pPr>
    </w:p>
    <w:p w:rsidR="00A21F04" w:rsidRDefault="00A21F04" w:rsidP="00A134F2">
      <w:pPr>
        <w:spacing w:after="0" w:line="360" w:lineRule="auto"/>
        <w:ind w:right="360"/>
        <w:jc w:val="both"/>
        <w:rPr>
          <w:rFonts w:ascii="Times New Roman" w:hAnsi="Times New Roman" w:cs="Times New Roman"/>
          <w:sz w:val="24"/>
          <w:szCs w:val="24"/>
        </w:rPr>
      </w:pPr>
      <w:r w:rsidRPr="00EE03A8">
        <w:rPr>
          <w:rFonts w:ascii="Times New Roman" w:hAnsi="Times New Roman" w:cs="Times New Roman"/>
          <w:sz w:val="24"/>
          <w:szCs w:val="24"/>
        </w:rPr>
        <w:t xml:space="preserve">Where </w:t>
      </w:r>
      <w:r w:rsidRPr="00EE03A8">
        <w:rPr>
          <w:rFonts w:ascii="Times New Roman" w:hAnsi="Times New Roman" w:cs="Times New Roman"/>
          <w:i/>
          <w:sz w:val="24"/>
          <w:szCs w:val="24"/>
        </w:rPr>
        <w:t>POTTRADE</w:t>
      </w:r>
      <w:r w:rsidRPr="00EE03A8">
        <w:rPr>
          <w:rFonts w:ascii="Times New Roman" w:hAnsi="Times New Roman" w:cs="Times New Roman"/>
          <w:i/>
          <w:sz w:val="24"/>
          <w:szCs w:val="24"/>
          <w:vertAlign w:val="subscript"/>
        </w:rPr>
        <w:t xml:space="preserve"> </w:t>
      </w:r>
      <w:r w:rsidRPr="00EE03A8">
        <w:rPr>
          <w:rFonts w:ascii="Times New Roman" w:eastAsiaTheme="minorEastAsia" w:hAnsi="Times New Roman" w:cs="Times New Roman"/>
          <w:sz w:val="24"/>
          <w:szCs w:val="24"/>
        </w:rPr>
        <w:t>would represent trade potential</w:t>
      </w:r>
      <w:r w:rsidR="00A0621F">
        <w:rPr>
          <w:rFonts w:ascii="Times New Roman" w:hAnsi="Times New Roman" w:cs="Times New Roman"/>
          <w:sz w:val="24"/>
          <w:szCs w:val="24"/>
        </w:rPr>
        <w:t xml:space="preserve">, </w:t>
      </w:r>
      <w:r w:rsidRPr="00EE03A8">
        <w:rPr>
          <w:rFonts w:ascii="Times New Roman" w:hAnsi="Times New Roman" w:cs="Times New Roman"/>
          <w:i/>
          <w:sz w:val="24"/>
          <w:szCs w:val="24"/>
        </w:rPr>
        <w:t>EFFTRADE</w:t>
      </w:r>
      <w:r w:rsidRPr="00EE03A8">
        <w:rPr>
          <w:rFonts w:ascii="Times New Roman" w:hAnsi="Times New Roman" w:cs="Times New Roman"/>
          <w:sz w:val="24"/>
          <w:szCs w:val="24"/>
        </w:rPr>
        <w:t xml:space="preserve"> represent the </w:t>
      </w:r>
      <w:r>
        <w:rPr>
          <w:rFonts w:ascii="Times New Roman" w:hAnsi="Times New Roman" w:cs="Times New Roman"/>
          <w:sz w:val="24"/>
          <w:szCs w:val="24"/>
        </w:rPr>
        <w:t>actual</w:t>
      </w:r>
      <w:r w:rsidRPr="00EE03A8">
        <w:rPr>
          <w:rFonts w:ascii="Times New Roman" w:hAnsi="Times New Roman" w:cs="Times New Roman"/>
          <w:sz w:val="24"/>
          <w:szCs w:val="24"/>
        </w:rPr>
        <w:t xml:space="preserve"> export flows from exporter country</w:t>
      </w:r>
      <w:r>
        <w:rPr>
          <w:rFonts w:ascii="Times New Roman" w:hAnsi="Times New Roman" w:cs="Times New Roman"/>
          <w:sz w:val="24"/>
          <w:szCs w:val="24"/>
        </w:rPr>
        <w:t xml:space="preserve"> (i)</w:t>
      </w:r>
      <w:r w:rsidRPr="00EE03A8">
        <w:rPr>
          <w:rFonts w:ascii="Times New Roman" w:hAnsi="Times New Roman" w:cs="Times New Roman"/>
          <w:sz w:val="24"/>
          <w:szCs w:val="24"/>
        </w:rPr>
        <w:t xml:space="preserve"> to partner importer country</w:t>
      </w:r>
      <w:r>
        <w:rPr>
          <w:rFonts w:ascii="Times New Roman" w:hAnsi="Times New Roman" w:cs="Times New Roman"/>
          <w:sz w:val="24"/>
          <w:szCs w:val="24"/>
        </w:rPr>
        <w:t xml:space="preserve"> (j),</w:t>
      </w:r>
      <w:r w:rsidRPr="00EE03A8">
        <w:rPr>
          <w:rFonts w:ascii="Times New Roman" w:hAnsi="Times New Roman" w:cs="Times New Roman"/>
          <w:sz w:val="24"/>
          <w:szCs w:val="24"/>
        </w:rPr>
        <w:t xml:space="preserve"> </w:t>
      </w:r>
      <w:r w:rsidRPr="00EE03A8">
        <w:rPr>
          <w:rFonts w:ascii="Times New Roman" w:hAnsi="Times New Roman" w:cs="Times New Roman"/>
          <w:i/>
          <w:sz w:val="24"/>
          <w:szCs w:val="24"/>
        </w:rPr>
        <w:t>FITTRADE</w:t>
      </w:r>
      <w:r w:rsidR="00A0621F">
        <w:rPr>
          <w:rFonts w:ascii="Times New Roman" w:hAnsi="Times New Roman" w:cs="Times New Roman"/>
          <w:sz w:val="24"/>
          <w:szCs w:val="24"/>
        </w:rPr>
        <w:t xml:space="preserve"> </w:t>
      </w:r>
      <w:r>
        <w:rPr>
          <w:rFonts w:ascii="Times New Roman" w:hAnsi="Times New Roman" w:cs="Times New Roman"/>
          <w:sz w:val="24"/>
          <w:szCs w:val="24"/>
        </w:rPr>
        <w:t xml:space="preserve">indicates </w:t>
      </w:r>
      <w:r w:rsidRPr="00EE03A8">
        <w:rPr>
          <w:rFonts w:ascii="Times New Roman" w:hAnsi="Times New Roman" w:cs="Times New Roman"/>
          <w:sz w:val="24"/>
          <w:szCs w:val="24"/>
        </w:rPr>
        <w:t>the fitted export flows generat</w:t>
      </w:r>
      <w:r>
        <w:rPr>
          <w:rFonts w:ascii="Times New Roman" w:hAnsi="Times New Roman" w:cs="Times New Roman"/>
          <w:sz w:val="24"/>
          <w:szCs w:val="24"/>
        </w:rPr>
        <w:t>ed from the gravity equation</w:t>
      </w:r>
      <w:r w:rsidRPr="00EE03A8">
        <w:rPr>
          <w:rFonts w:ascii="Times New Roman" w:hAnsi="Times New Roman" w:cs="Times New Roman"/>
          <w:sz w:val="24"/>
          <w:szCs w:val="24"/>
        </w:rPr>
        <w:t>.</w:t>
      </w:r>
      <w:r>
        <w:rPr>
          <w:rFonts w:ascii="Times New Roman" w:hAnsi="Times New Roman" w:cs="Times New Roman"/>
          <w:sz w:val="24"/>
          <w:szCs w:val="24"/>
        </w:rPr>
        <w:t xml:space="preserve"> When </w:t>
      </w:r>
      <w:r w:rsidRPr="00EE03A8">
        <w:rPr>
          <w:rFonts w:ascii="Times New Roman" w:hAnsi="Times New Roman" w:cs="Times New Roman"/>
          <w:i/>
          <w:sz w:val="24"/>
          <w:szCs w:val="24"/>
        </w:rPr>
        <w:t>POTTRADE</w:t>
      </w:r>
      <w:r>
        <w:rPr>
          <w:rFonts w:ascii="Times New Roman" w:hAnsi="Times New Roman" w:cs="Times New Roman"/>
          <w:sz w:val="24"/>
          <w:szCs w:val="24"/>
        </w:rPr>
        <w:t xml:space="preserve"> is greater than 1, it indicates</w:t>
      </w:r>
      <w:r w:rsidRPr="00894F20">
        <w:rPr>
          <w:rFonts w:ascii="Times New Roman" w:hAnsi="Times New Roman" w:cs="Times New Roman"/>
          <w:sz w:val="24"/>
          <w:szCs w:val="24"/>
        </w:rPr>
        <w:t xml:space="preserve"> that actual export flows are higher than</w:t>
      </w:r>
      <w:r>
        <w:rPr>
          <w:rFonts w:ascii="Times New Roman" w:hAnsi="Times New Roman" w:cs="Times New Roman"/>
          <w:sz w:val="24"/>
          <w:szCs w:val="24"/>
        </w:rPr>
        <w:t xml:space="preserve"> predicted by the gravity model,</w:t>
      </w:r>
      <w:r w:rsidRPr="00894F20">
        <w:rPr>
          <w:rFonts w:ascii="Times New Roman" w:hAnsi="Times New Roman" w:cs="Times New Roman"/>
          <w:sz w:val="24"/>
          <w:szCs w:val="24"/>
        </w:rPr>
        <w:t xml:space="preserve"> </w:t>
      </w:r>
      <w:r>
        <w:rPr>
          <w:rFonts w:ascii="Times New Roman" w:hAnsi="Times New Roman" w:cs="Times New Roman"/>
          <w:sz w:val="24"/>
          <w:szCs w:val="24"/>
        </w:rPr>
        <w:t>w</w:t>
      </w:r>
      <w:r w:rsidRPr="00894F20">
        <w:rPr>
          <w:rFonts w:ascii="Times New Roman" w:hAnsi="Times New Roman" w:cs="Times New Roman"/>
          <w:sz w:val="24"/>
          <w:szCs w:val="24"/>
        </w:rPr>
        <w:t xml:space="preserve">hile a </w:t>
      </w:r>
      <w:r w:rsidRPr="00EE03A8">
        <w:rPr>
          <w:rFonts w:ascii="Times New Roman" w:hAnsi="Times New Roman" w:cs="Times New Roman"/>
          <w:i/>
          <w:sz w:val="24"/>
          <w:szCs w:val="24"/>
        </w:rPr>
        <w:t>POTTRADE</w:t>
      </w:r>
      <w:r w:rsidRPr="00894F20">
        <w:rPr>
          <w:rFonts w:ascii="Times New Roman" w:hAnsi="Times New Roman" w:cs="Times New Roman"/>
          <w:sz w:val="24"/>
          <w:szCs w:val="24"/>
        </w:rPr>
        <w:t xml:space="preserve"> value </w:t>
      </w:r>
      <w:r>
        <w:rPr>
          <w:rFonts w:ascii="Times New Roman" w:hAnsi="Times New Roman" w:cs="Times New Roman"/>
          <w:sz w:val="24"/>
          <w:szCs w:val="24"/>
        </w:rPr>
        <w:t xml:space="preserve">less than one </w:t>
      </w:r>
      <w:r w:rsidRPr="00894F20">
        <w:rPr>
          <w:rFonts w:ascii="Times New Roman" w:hAnsi="Times New Roman" w:cs="Times New Roman"/>
          <w:sz w:val="24"/>
          <w:szCs w:val="24"/>
        </w:rPr>
        <w:t xml:space="preserve">shows that actual </w:t>
      </w:r>
      <w:r>
        <w:rPr>
          <w:rFonts w:ascii="Times New Roman" w:hAnsi="Times New Roman" w:cs="Times New Roman"/>
          <w:sz w:val="24"/>
          <w:szCs w:val="24"/>
        </w:rPr>
        <w:t xml:space="preserve">Oman exports are less than </w:t>
      </w:r>
      <w:r w:rsidRPr="00894F20">
        <w:rPr>
          <w:rFonts w:ascii="Times New Roman" w:hAnsi="Times New Roman" w:cs="Times New Roman"/>
          <w:sz w:val="24"/>
          <w:szCs w:val="24"/>
        </w:rPr>
        <w:t>expecte</w:t>
      </w:r>
      <w:r>
        <w:rPr>
          <w:rFonts w:ascii="Times New Roman" w:hAnsi="Times New Roman" w:cs="Times New Roman"/>
          <w:sz w:val="24"/>
          <w:szCs w:val="24"/>
        </w:rPr>
        <w:t>d and can be expanded.</w:t>
      </w:r>
      <w:r w:rsidRPr="00894F20">
        <w:rPr>
          <w:rFonts w:ascii="Times New Roman" w:hAnsi="Times New Roman" w:cs="Times New Roman"/>
          <w:sz w:val="24"/>
          <w:szCs w:val="24"/>
        </w:rPr>
        <w:t xml:space="preserve"> </w:t>
      </w:r>
    </w:p>
    <w:p w:rsidR="00630441" w:rsidRDefault="00630441" w:rsidP="00A134F2">
      <w:pPr>
        <w:spacing w:after="0" w:line="360" w:lineRule="auto"/>
        <w:ind w:right="360"/>
        <w:jc w:val="both"/>
        <w:rPr>
          <w:rFonts w:ascii="Times New Roman" w:hAnsi="Times New Roman" w:cs="Times New Roman"/>
          <w:sz w:val="24"/>
          <w:szCs w:val="24"/>
        </w:rPr>
      </w:pPr>
    </w:p>
    <w:p w:rsidR="00B33B41" w:rsidRPr="00843058" w:rsidRDefault="00B33B41" w:rsidP="00843058">
      <w:pPr>
        <w:pStyle w:val="Heading2"/>
        <w:numPr>
          <w:ilvl w:val="0"/>
          <w:numId w:val="16"/>
        </w:numPr>
        <w:spacing w:after="120"/>
        <w:rPr>
          <w:rFonts w:asciiTheme="majorBidi" w:hAnsiTheme="majorBidi"/>
          <w:b/>
          <w:bCs/>
          <w:i/>
          <w:iCs/>
          <w:sz w:val="24"/>
          <w:szCs w:val="24"/>
        </w:rPr>
      </w:pPr>
      <w:bookmarkStart w:id="8" w:name="_Toc516749403"/>
      <w:r w:rsidRPr="00843058">
        <w:rPr>
          <w:rFonts w:asciiTheme="majorBidi" w:hAnsiTheme="majorBidi"/>
          <w:b/>
          <w:bCs/>
          <w:i/>
          <w:iCs/>
          <w:sz w:val="24"/>
          <w:szCs w:val="24"/>
        </w:rPr>
        <w:t>Estimation Issues</w:t>
      </w:r>
      <w:bookmarkEnd w:id="8"/>
    </w:p>
    <w:p w:rsidR="00E51ED1" w:rsidRDefault="00B33B41" w:rsidP="00155526">
      <w:pPr>
        <w:spacing w:after="0" w:line="360" w:lineRule="auto"/>
        <w:ind w:right="360"/>
        <w:jc w:val="both"/>
        <w:rPr>
          <w:rFonts w:asciiTheme="majorBidi" w:hAnsiTheme="majorBidi" w:cs="Times New Roman"/>
          <w:sz w:val="24"/>
          <w:szCs w:val="24"/>
        </w:rPr>
      </w:pPr>
      <w:r w:rsidRPr="003273CC">
        <w:rPr>
          <w:rFonts w:asciiTheme="majorBidi" w:hAnsiTheme="majorBidi" w:cs="Times New Roman"/>
          <w:sz w:val="24"/>
          <w:szCs w:val="24"/>
        </w:rPr>
        <w:t>Several estimation issue</w:t>
      </w:r>
      <w:r w:rsidR="00A0621F">
        <w:rPr>
          <w:rFonts w:asciiTheme="majorBidi" w:hAnsiTheme="majorBidi" w:cs="Times New Roman"/>
          <w:sz w:val="24"/>
          <w:szCs w:val="24"/>
        </w:rPr>
        <w:t>s</w:t>
      </w:r>
      <w:r w:rsidRPr="003273CC">
        <w:rPr>
          <w:rFonts w:asciiTheme="majorBidi" w:hAnsiTheme="majorBidi" w:cs="Times New Roman"/>
          <w:sz w:val="24"/>
          <w:szCs w:val="24"/>
        </w:rPr>
        <w:t xml:space="preserve"> arise</w:t>
      </w:r>
      <w:r w:rsidR="00A0621F">
        <w:rPr>
          <w:rFonts w:asciiTheme="majorBidi" w:hAnsiTheme="majorBidi" w:cs="Times New Roman"/>
          <w:sz w:val="24"/>
          <w:szCs w:val="24"/>
        </w:rPr>
        <w:t>s in gravity modeling</w:t>
      </w:r>
      <w:r w:rsidR="008E73C2">
        <w:rPr>
          <w:rFonts w:asciiTheme="majorBidi" w:hAnsiTheme="majorBidi" w:cs="Times New Roman"/>
          <w:sz w:val="24"/>
          <w:szCs w:val="24"/>
        </w:rPr>
        <w:t xml:space="preserve"> (hetrogeneity, endogeneity, </w:t>
      </w:r>
      <w:r w:rsidR="00A0621F">
        <w:rPr>
          <w:rFonts w:asciiTheme="majorBidi" w:hAnsiTheme="majorBidi" w:cs="Times New Roman"/>
          <w:sz w:val="24"/>
          <w:szCs w:val="24"/>
        </w:rPr>
        <w:t xml:space="preserve"> and </w:t>
      </w:r>
      <w:r w:rsidR="008E73C2">
        <w:rPr>
          <w:rFonts w:asciiTheme="majorBidi" w:hAnsiTheme="majorBidi" w:cs="Times New Roman"/>
          <w:sz w:val="24"/>
          <w:szCs w:val="24"/>
        </w:rPr>
        <w:t xml:space="preserve">zero trade flows) </w:t>
      </w:r>
      <w:r w:rsidR="00A0621F">
        <w:rPr>
          <w:rFonts w:asciiTheme="majorBidi" w:hAnsiTheme="majorBidi" w:cs="Times New Roman"/>
          <w:sz w:val="24"/>
          <w:szCs w:val="24"/>
        </w:rPr>
        <w:t xml:space="preserve">if </w:t>
      </w:r>
      <w:r w:rsidRPr="003273CC">
        <w:rPr>
          <w:rFonts w:asciiTheme="majorBidi" w:hAnsiTheme="majorBidi" w:cs="Times New Roman"/>
          <w:sz w:val="24"/>
          <w:szCs w:val="24"/>
        </w:rPr>
        <w:t xml:space="preserve">not properly taken care of </w:t>
      </w:r>
      <w:r w:rsidR="00A0621F">
        <w:rPr>
          <w:rFonts w:asciiTheme="majorBidi" w:hAnsiTheme="majorBidi" w:cs="Times New Roman"/>
          <w:sz w:val="24"/>
          <w:szCs w:val="24"/>
        </w:rPr>
        <w:t>could lead to misleading and biased results.</w:t>
      </w:r>
      <w:r w:rsidRPr="003273CC">
        <w:rPr>
          <w:rFonts w:asciiTheme="majorBidi" w:hAnsiTheme="majorBidi" w:cs="Times New Roman"/>
          <w:sz w:val="24"/>
          <w:szCs w:val="24"/>
        </w:rPr>
        <w:t xml:space="preserve"> </w:t>
      </w:r>
      <w:r w:rsidR="008E73C2">
        <w:rPr>
          <w:rFonts w:asciiTheme="majorBidi" w:hAnsiTheme="majorBidi" w:cs="Times New Roman"/>
          <w:sz w:val="24"/>
          <w:szCs w:val="24"/>
        </w:rPr>
        <w:t>T</w:t>
      </w:r>
      <w:r w:rsidRPr="003273CC">
        <w:rPr>
          <w:rFonts w:asciiTheme="majorBidi" w:hAnsiTheme="majorBidi" w:cs="Times New Roman"/>
          <w:sz w:val="24"/>
          <w:szCs w:val="24"/>
        </w:rPr>
        <w:t>rade policy</w:t>
      </w:r>
      <w:r w:rsidR="008E73C2">
        <w:rPr>
          <w:rFonts w:asciiTheme="majorBidi" w:hAnsiTheme="majorBidi" w:cs="Times New Roman"/>
          <w:sz w:val="24"/>
          <w:szCs w:val="24"/>
        </w:rPr>
        <w:t xml:space="preserve"> analysis in the context of gravity modeling is</w:t>
      </w:r>
      <w:r w:rsidRPr="003273CC">
        <w:rPr>
          <w:rFonts w:asciiTheme="majorBidi" w:hAnsiTheme="majorBidi" w:cs="Times New Roman"/>
          <w:sz w:val="24"/>
          <w:szCs w:val="24"/>
        </w:rPr>
        <w:t xml:space="preserve"> often interested in capturing the </w:t>
      </w:r>
      <w:r w:rsidR="008E73C2">
        <w:rPr>
          <w:rFonts w:asciiTheme="majorBidi" w:hAnsiTheme="majorBidi" w:cs="Times New Roman"/>
          <w:sz w:val="24"/>
          <w:szCs w:val="24"/>
        </w:rPr>
        <w:t xml:space="preserve">specific </w:t>
      </w:r>
      <w:r w:rsidRPr="003273CC">
        <w:rPr>
          <w:rFonts w:asciiTheme="majorBidi" w:hAnsiTheme="majorBidi" w:cs="Times New Roman"/>
          <w:sz w:val="24"/>
          <w:szCs w:val="24"/>
        </w:rPr>
        <w:t>effect of individual exporter and importer on propensity to trade and membership in trade agreements. Th</w:t>
      </w:r>
      <w:r w:rsidR="00155526">
        <w:rPr>
          <w:rFonts w:asciiTheme="majorBidi" w:hAnsiTheme="majorBidi" w:cs="Times New Roman"/>
          <w:sz w:val="24"/>
          <w:szCs w:val="24"/>
        </w:rPr>
        <w:t>ese</w:t>
      </w:r>
      <w:r w:rsidRPr="003273CC">
        <w:rPr>
          <w:rFonts w:asciiTheme="majorBidi" w:hAnsiTheme="majorBidi" w:cs="Times New Roman"/>
          <w:sz w:val="24"/>
          <w:szCs w:val="24"/>
        </w:rPr>
        <w:t xml:space="preserve"> effect</w:t>
      </w:r>
      <w:r w:rsidR="009938A7">
        <w:rPr>
          <w:rFonts w:asciiTheme="majorBidi" w:hAnsiTheme="majorBidi" w:cs="Times New Roman"/>
          <w:sz w:val="24"/>
          <w:szCs w:val="24"/>
        </w:rPr>
        <w:t>s</w:t>
      </w:r>
      <w:r w:rsidRPr="003273CC">
        <w:rPr>
          <w:rFonts w:asciiTheme="majorBidi" w:hAnsiTheme="majorBidi" w:cs="Times New Roman"/>
          <w:sz w:val="24"/>
          <w:szCs w:val="24"/>
        </w:rPr>
        <w:t xml:space="preserve"> </w:t>
      </w:r>
      <w:r w:rsidR="009938A7">
        <w:rPr>
          <w:rFonts w:asciiTheme="majorBidi" w:hAnsiTheme="majorBidi" w:cs="Times New Roman"/>
          <w:sz w:val="24"/>
          <w:szCs w:val="24"/>
        </w:rPr>
        <w:t>are</w:t>
      </w:r>
      <w:r w:rsidR="008E73C2">
        <w:rPr>
          <w:rFonts w:asciiTheme="majorBidi" w:hAnsiTheme="majorBidi" w:cs="Times New Roman"/>
          <w:sz w:val="24"/>
          <w:szCs w:val="24"/>
        </w:rPr>
        <w:t xml:space="preserve"> </w:t>
      </w:r>
      <w:r w:rsidRPr="003273CC">
        <w:rPr>
          <w:rFonts w:asciiTheme="majorBidi" w:hAnsiTheme="majorBidi" w:cs="Times New Roman"/>
          <w:sz w:val="24"/>
          <w:szCs w:val="24"/>
        </w:rPr>
        <w:t xml:space="preserve">often difficult to capture due </w:t>
      </w:r>
      <w:r w:rsidRPr="003273CC">
        <w:rPr>
          <w:rFonts w:asciiTheme="majorBidi" w:hAnsiTheme="majorBidi" w:cs="Times New Roman"/>
          <w:sz w:val="24"/>
          <w:szCs w:val="24"/>
        </w:rPr>
        <w:lastRenderedPageBreak/>
        <w:t xml:space="preserve">to endogeneity as discussed by </w:t>
      </w:r>
      <w:r w:rsidRPr="003273CC">
        <w:rPr>
          <w:rFonts w:asciiTheme="majorBidi" w:hAnsiTheme="majorBidi" w:cs="Times New Roman"/>
          <w:sz w:val="24"/>
          <w:szCs w:val="24"/>
        </w:rPr>
        <w:fldChar w:fldCharType="begin" w:fldLock="1"/>
      </w:r>
      <w:r w:rsidR="00EE4776">
        <w:rPr>
          <w:rFonts w:asciiTheme="majorBidi" w:hAnsiTheme="majorBidi" w:cs="Times New Roman"/>
          <w:sz w:val="24"/>
          <w:szCs w:val="24"/>
        </w:rPr>
        <w:instrText>ADDIN CSL_CITATION {"citationItems":[{"id":"ITEM-1","itemData":{"DOI":"10.1257/000282803321455214","ISBN":"00028282","ISSN":"0002-8282","PMID":"14769633","abstract":"Gravity equations have been widely used to infer trade flow effects of various institutional arrangements. We show that estimated gravity equations do not have a theoretical foundation. This implies both that estimation suffers from omitted variables bias and that comparative statics analysis is unfounded. We develop a method that (i) consistently and efficiently estimates a theoretical gravity equation and (ii) correctly calculates the comparative statics of trade frictions. We apply the method to solve the famous McCallum border puzzle. Applying our method, we find that national borders reduce trade between industrialized countries by moderate amounts of 20-50 percent.","author":[{"dropping-particle":"","family":"Anderson","given":"James E.","non-dropping-particle":"","parse-names":false,"suffix":""},{"dropping-particle":"van","family":"Wincoop","given":"Eric","non-dropping-particle":"","parse-names":false,"suffix":""}],"container-title":"The American Economic Review","id":"ITEM-1","issue":"1","issued":{"date-parts":[["2003"]]},"page":"170-192","title":"Gravity with Gravitas : A Soiution to the Border Puzzie","type":"article-journal","volume":"93"},"uris":["http://www.mendeley.com/documents/?uuid=c1a600f1-047b-4fa9-bcef-b7c9c85e220e"]}],"mendeley":{"formattedCitation":"(Anderson &amp; Wincoop, 2003)","manualFormatting":"Anderson &amp; Wincoop (2003)","plainTextFormattedCitation":"(Anderson &amp; Wincoop, 2003)","previouslyFormattedCitation":"(Anderson &amp; Wincoop, 2003)"},"properties":{"noteIndex":0},"schema":"https://github.com/citation-style-language/schema/raw/master/csl-citation.json"}</w:instrText>
      </w:r>
      <w:r w:rsidRPr="003273CC">
        <w:rPr>
          <w:rFonts w:asciiTheme="majorBidi" w:hAnsiTheme="majorBidi" w:cs="Times New Roman"/>
          <w:sz w:val="24"/>
          <w:szCs w:val="24"/>
        </w:rPr>
        <w:fldChar w:fldCharType="separate"/>
      </w:r>
      <w:r w:rsidRPr="003273CC">
        <w:rPr>
          <w:rFonts w:asciiTheme="majorBidi" w:hAnsiTheme="majorBidi" w:cs="Times New Roman"/>
          <w:sz w:val="24"/>
          <w:szCs w:val="24"/>
        </w:rPr>
        <w:t>Anderson &amp; Wincoop (2003)</w:t>
      </w:r>
      <w:r w:rsidRPr="003273CC">
        <w:rPr>
          <w:rFonts w:asciiTheme="majorBidi" w:hAnsiTheme="majorBidi" w:cs="Times New Roman"/>
          <w:sz w:val="24"/>
          <w:szCs w:val="24"/>
        </w:rPr>
        <w:fldChar w:fldCharType="end"/>
      </w:r>
      <w:r w:rsidRPr="003273CC">
        <w:rPr>
          <w:rFonts w:asciiTheme="majorBidi" w:hAnsiTheme="majorBidi" w:cs="Times New Roman"/>
          <w:sz w:val="24"/>
          <w:szCs w:val="24"/>
        </w:rPr>
        <w:t xml:space="preserve"> and </w:t>
      </w:r>
      <w:r>
        <w:rPr>
          <w:rFonts w:asciiTheme="majorBidi" w:hAnsiTheme="majorBidi" w:cs="Times New Roman"/>
          <w:sz w:val="24"/>
          <w:szCs w:val="24"/>
        </w:rPr>
        <w:fldChar w:fldCharType="begin" w:fldLock="1"/>
      </w:r>
      <w:r w:rsidR="00EE4776">
        <w:rPr>
          <w:rFonts w:asciiTheme="majorBidi" w:hAnsiTheme="majorBidi" w:cs="Times New Roman"/>
          <w:sz w:val="24"/>
          <w:szCs w:val="24"/>
        </w:rPr>
        <w:instrText>ADDIN CSL_CITATION {"citationItems":[{"id":"ITEM-1","itemData":{"DOI":"10.1016/J.JINTECO.2006.02.005","ISSN":"0022-1996","abstract":"For over 40 years, the gravity equation has been a workhorse for cross-country empirical analyses of international trade flows and — in particular — the effects of free trade agreements (FTAs) on trade flows. However, the gravity equation is subject to the same econometric critique as earlier cross-industry studies of U.S. tariff and nontariff barriers and U.S. multilateral imports: trade policy is not an exogenous variable. We address econometrically the endogeneity of FTAs. Although instrumental-variable and control-function approaches do not adjust for endogeneity well, a panel approach does. Accounting econometrically for the FTA variable's endogeneity yields striking empirical results: the effect of FTAs on trade flows is quintupled. We find that, on average, an FTA approximately doubles two members' bilateral trade after 10 years.","author":[{"dropping-particle":"","family":"Baier","given":"Scott L.","non-dropping-particle":"","parse-names":false,"suffix":""},{"dropping-particle":"","family":"Bergstrand","given":"Jeffrey H.","non-dropping-particle":"","parse-names":false,"suffix":""}],"container-title":"Journal of International Economics","id":"ITEM-1","issue":"1","issued":{"date-parts":[["2007","3","8"]]},"page":"72-95","publisher":"North-Holland","title":"Do free trade agreements actually increase members' international trade?","type":"article-journal","volume":"71"},"uris":["http://www.mendeley.com/documents/?uuid=f6fb8806-6cbe-3bd6-8edb-eff6ce2ce8a4"]}],"mendeley":{"formattedCitation":"(Baier &amp; Bergstrand, 2007)","manualFormatting":"Baier &amp; Bergstrand (2007)","plainTextFormattedCitation":"(Baier &amp; Bergstrand, 2007)","previouslyFormattedCitation":"(Baier &amp; Bergstrand, 2007)"},"properties":{"noteIndex":0},"schema":"https://github.com/citation-style-language/schema/raw/master/csl-citation.json"}</w:instrText>
      </w:r>
      <w:r>
        <w:rPr>
          <w:rFonts w:asciiTheme="majorBidi" w:hAnsiTheme="majorBidi" w:cs="Times New Roman"/>
          <w:sz w:val="24"/>
          <w:szCs w:val="24"/>
        </w:rPr>
        <w:fldChar w:fldCharType="separate"/>
      </w:r>
      <w:r>
        <w:rPr>
          <w:rFonts w:asciiTheme="majorBidi" w:hAnsiTheme="majorBidi" w:cs="Times New Roman"/>
          <w:sz w:val="24"/>
          <w:szCs w:val="24"/>
        </w:rPr>
        <w:t>Baier &amp; Bergstrand</w:t>
      </w:r>
      <w:r w:rsidRPr="003273CC">
        <w:rPr>
          <w:rFonts w:asciiTheme="majorBidi" w:hAnsiTheme="majorBidi" w:cs="Times New Roman"/>
          <w:sz w:val="24"/>
          <w:szCs w:val="24"/>
        </w:rPr>
        <w:t xml:space="preserve"> </w:t>
      </w:r>
      <w:r>
        <w:rPr>
          <w:rFonts w:asciiTheme="majorBidi" w:hAnsiTheme="majorBidi" w:cs="Times New Roman"/>
          <w:sz w:val="24"/>
          <w:szCs w:val="24"/>
        </w:rPr>
        <w:t>(</w:t>
      </w:r>
      <w:r w:rsidRPr="003273CC">
        <w:rPr>
          <w:rFonts w:asciiTheme="majorBidi" w:hAnsiTheme="majorBidi" w:cs="Times New Roman"/>
          <w:sz w:val="24"/>
          <w:szCs w:val="24"/>
        </w:rPr>
        <w:t>2007)</w:t>
      </w:r>
      <w:r>
        <w:rPr>
          <w:rFonts w:asciiTheme="majorBidi" w:hAnsiTheme="majorBidi" w:cs="Times New Roman"/>
          <w:sz w:val="24"/>
          <w:szCs w:val="24"/>
        </w:rPr>
        <w:fldChar w:fldCharType="end"/>
      </w:r>
      <w:r w:rsidRPr="003273CC">
        <w:rPr>
          <w:rFonts w:asciiTheme="majorBidi" w:hAnsiTheme="majorBidi" w:cs="Times New Roman"/>
          <w:sz w:val="24"/>
          <w:szCs w:val="24"/>
        </w:rPr>
        <w:t xml:space="preserve"> . </w:t>
      </w:r>
      <w:r w:rsidR="00E51ED1">
        <w:rPr>
          <w:rFonts w:asciiTheme="majorBidi" w:hAnsiTheme="majorBidi" w:cs="Times New Roman"/>
          <w:sz w:val="24"/>
          <w:szCs w:val="24"/>
        </w:rPr>
        <w:t xml:space="preserve">While </w:t>
      </w:r>
      <w:r w:rsidRPr="003273CC">
        <w:rPr>
          <w:rFonts w:asciiTheme="majorBidi" w:hAnsiTheme="majorBidi" w:cs="Times New Roman"/>
          <w:sz w:val="24"/>
          <w:szCs w:val="24"/>
        </w:rPr>
        <w:fldChar w:fldCharType="begin" w:fldLock="1"/>
      </w:r>
      <w:r w:rsidR="00EE4776">
        <w:rPr>
          <w:rFonts w:asciiTheme="majorBidi" w:hAnsiTheme="majorBidi" w:cs="Times New Roman"/>
          <w:sz w:val="24"/>
          <w:szCs w:val="24"/>
        </w:rPr>
        <w:instrText>ADDIN CSL_CITATION {"citationItems":[{"id":"ITEM-1","itemData":{"DOI":"10.1257/000282803321455214","ISBN":"00028282","ISSN":"0002-8282","PMID":"14769633","abstract":"Gravity equations have been widely used to infer trade flow effects of various institutional arrangements. We show that estimated gravity equations do not have a theoretical foundation. This implies both that estimation suffers from omitted variables bias and that comparative statics analysis is unfounded. We develop a method that (i) consistently and efficiently estimates a theoretical gravity equation and (ii) correctly calculates the comparative statics of trade frictions. We apply the method to solve the famous McCallum border puzzle. Applying our method, we find that national borders reduce trade between industrialized countries by moderate amounts of 20-50 percent.","author":[{"dropping-particle":"","family":"Anderson","given":"James E.","non-dropping-particle":"","parse-names":false,"suffix":""},{"dropping-particle":"van","family":"Wincoop","given":"Eric","non-dropping-particle":"","parse-names":false,"suffix":""}],"container-title":"The American Economic Review","id":"ITEM-1","issue":"1","issued":{"date-parts":[["2003"]]},"page":"170-192","title":"Gravity with Gravitas : A Soiution to the Border Puzzie","type":"article-journal","volume":"93"},"uris":["http://www.mendeley.com/documents/?uuid=c1a600f1-047b-4fa9-bcef-b7c9c85e220e"]}],"mendeley":{"formattedCitation":"(Anderson &amp; Wincoop, 2003)","manualFormatting":"Anderson &amp; Wincoop (2003)","plainTextFormattedCitation":"(Anderson &amp; Wincoop, 2003)","previouslyFormattedCitation":"(Anderson &amp; Wincoop, 2003)"},"properties":{"noteIndex":0},"schema":"https://github.com/citation-style-language/schema/raw/master/csl-citation.json"}</w:instrText>
      </w:r>
      <w:r w:rsidRPr="003273CC">
        <w:rPr>
          <w:rFonts w:asciiTheme="majorBidi" w:hAnsiTheme="majorBidi" w:cs="Times New Roman"/>
          <w:sz w:val="24"/>
          <w:szCs w:val="24"/>
        </w:rPr>
        <w:fldChar w:fldCharType="separate"/>
      </w:r>
      <w:r w:rsidRPr="003273CC">
        <w:rPr>
          <w:rFonts w:asciiTheme="majorBidi" w:hAnsiTheme="majorBidi" w:cs="Times New Roman"/>
          <w:sz w:val="24"/>
          <w:szCs w:val="24"/>
        </w:rPr>
        <w:t>Anderson &amp; Wincoop (2003)</w:t>
      </w:r>
      <w:r w:rsidRPr="003273CC">
        <w:rPr>
          <w:rFonts w:asciiTheme="majorBidi" w:hAnsiTheme="majorBidi" w:cs="Times New Roman"/>
          <w:sz w:val="24"/>
          <w:szCs w:val="24"/>
        </w:rPr>
        <w:fldChar w:fldCharType="end"/>
      </w:r>
      <w:r w:rsidR="008E73C2">
        <w:rPr>
          <w:rFonts w:asciiTheme="majorBidi" w:hAnsiTheme="majorBidi" w:cs="Times New Roman"/>
          <w:sz w:val="24"/>
          <w:szCs w:val="24"/>
        </w:rPr>
        <w:t xml:space="preserve"> a</w:t>
      </w:r>
      <w:r w:rsidR="009938A7">
        <w:rPr>
          <w:rFonts w:asciiTheme="majorBidi" w:hAnsiTheme="majorBidi" w:cs="Times New Roman"/>
          <w:sz w:val="24"/>
          <w:szCs w:val="24"/>
        </w:rPr>
        <w:t>n</w:t>
      </w:r>
      <w:r w:rsidR="008E73C2">
        <w:rPr>
          <w:rFonts w:asciiTheme="majorBidi" w:hAnsiTheme="majorBidi" w:cs="Times New Roman"/>
          <w:sz w:val="24"/>
          <w:szCs w:val="24"/>
        </w:rPr>
        <w:t>d Baier &amp;Bergstrand</w:t>
      </w:r>
      <w:r w:rsidR="00E51ED1">
        <w:rPr>
          <w:rFonts w:asciiTheme="majorBidi" w:hAnsiTheme="majorBidi" w:cs="Times New Roman"/>
          <w:sz w:val="24"/>
          <w:szCs w:val="24"/>
        </w:rPr>
        <w:t xml:space="preserve"> (2009)</w:t>
      </w:r>
      <w:r w:rsidRPr="003273CC">
        <w:rPr>
          <w:rFonts w:asciiTheme="majorBidi" w:hAnsiTheme="majorBidi" w:cs="Times New Roman"/>
          <w:sz w:val="24"/>
          <w:szCs w:val="24"/>
        </w:rPr>
        <w:t xml:space="preserve"> suggested </w:t>
      </w:r>
      <w:r w:rsidR="00E51ED1">
        <w:rPr>
          <w:rFonts w:asciiTheme="majorBidi" w:hAnsiTheme="majorBidi" w:cs="Times New Roman"/>
          <w:sz w:val="24"/>
          <w:szCs w:val="24"/>
        </w:rPr>
        <w:t>various solutions (</w:t>
      </w:r>
      <w:r w:rsidRPr="003273CC">
        <w:rPr>
          <w:rFonts w:asciiTheme="majorBidi" w:hAnsiTheme="majorBidi" w:cs="Times New Roman"/>
          <w:sz w:val="24"/>
          <w:szCs w:val="24"/>
        </w:rPr>
        <w:t>non-linear  method</w:t>
      </w:r>
      <w:r w:rsidR="00E51ED1">
        <w:rPr>
          <w:rFonts w:asciiTheme="majorBidi" w:hAnsiTheme="majorBidi" w:cs="Times New Roman"/>
          <w:sz w:val="24"/>
          <w:szCs w:val="24"/>
        </w:rPr>
        <w:t xml:space="preserve"> or </w:t>
      </w:r>
      <w:r w:rsidRPr="003273CC">
        <w:rPr>
          <w:rFonts w:asciiTheme="majorBidi" w:hAnsiTheme="majorBidi" w:cs="Times New Roman"/>
          <w:sz w:val="24"/>
          <w:szCs w:val="24"/>
        </w:rPr>
        <w:t>first-order Taylor series</w:t>
      </w:r>
      <w:r w:rsidR="00E51ED1">
        <w:rPr>
          <w:rFonts w:asciiTheme="majorBidi" w:hAnsiTheme="majorBidi" w:cs="Times New Roman"/>
          <w:sz w:val="24"/>
          <w:szCs w:val="24"/>
        </w:rPr>
        <w:t>)</w:t>
      </w:r>
      <w:r w:rsidRPr="003273CC">
        <w:rPr>
          <w:rFonts w:asciiTheme="majorBidi" w:hAnsiTheme="majorBidi" w:cs="Times New Roman"/>
          <w:sz w:val="24"/>
          <w:szCs w:val="24"/>
        </w:rPr>
        <w:t xml:space="preserve">, </w:t>
      </w:r>
      <w:r w:rsidR="00E51ED1">
        <w:rPr>
          <w:rFonts w:asciiTheme="majorBidi" w:hAnsiTheme="majorBidi" w:cs="Times New Roman"/>
          <w:sz w:val="24"/>
          <w:szCs w:val="24"/>
        </w:rPr>
        <w:t xml:space="preserve">it has been shown that the </w:t>
      </w:r>
      <w:r w:rsidRPr="003273CC">
        <w:rPr>
          <w:rFonts w:asciiTheme="majorBidi" w:hAnsiTheme="majorBidi" w:cs="Times New Roman"/>
          <w:sz w:val="24"/>
          <w:szCs w:val="24"/>
        </w:rPr>
        <w:t>use of fixed effect resolve</w:t>
      </w:r>
      <w:r w:rsidR="009938A7">
        <w:rPr>
          <w:rFonts w:asciiTheme="majorBidi" w:hAnsiTheme="majorBidi" w:cs="Times New Roman"/>
          <w:sz w:val="24"/>
          <w:szCs w:val="24"/>
        </w:rPr>
        <w:t>d</w:t>
      </w:r>
      <w:r w:rsidRPr="003273CC">
        <w:rPr>
          <w:rFonts w:asciiTheme="majorBidi" w:hAnsiTheme="majorBidi" w:cs="Times New Roman"/>
          <w:sz w:val="24"/>
          <w:szCs w:val="24"/>
        </w:rPr>
        <w:t xml:space="preserve"> </w:t>
      </w:r>
      <w:r w:rsidR="00E51ED1">
        <w:rPr>
          <w:rFonts w:asciiTheme="majorBidi" w:hAnsiTheme="majorBidi" w:cs="Times New Roman"/>
          <w:sz w:val="24"/>
          <w:szCs w:val="24"/>
        </w:rPr>
        <w:t xml:space="preserve">in many circumstances </w:t>
      </w:r>
      <w:r w:rsidRPr="003273CC">
        <w:rPr>
          <w:rFonts w:asciiTheme="majorBidi" w:hAnsiTheme="majorBidi" w:cs="Times New Roman"/>
          <w:sz w:val="24"/>
          <w:szCs w:val="24"/>
        </w:rPr>
        <w:t>the issue of endogeneity, multilateral resistance and  heterogeneity</w:t>
      </w:r>
      <w:r w:rsidR="00E51ED1">
        <w:rPr>
          <w:rFonts w:asciiTheme="majorBidi" w:hAnsiTheme="majorBidi" w:cs="Times New Roman"/>
          <w:sz w:val="24"/>
          <w:szCs w:val="24"/>
        </w:rPr>
        <w:t xml:space="preserve"> in </w:t>
      </w:r>
      <w:r w:rsidRPr="003273CC">
        <w:rPr>
          <w:rFonts w:asciiTheme="majorBidi" w:hAnsiTheme="majorBidi" w:cs="Times New Roman"/>
          <w:sz w:val="24"/>
          <w:szCs w:val="24"/>
        </w:rPr>
        <w:t>panel data</w:t>
      </w:r>
      <w:r w:rsidR="00E51ED1">
        <w:rPr>
          <w:rFonts w:asciiTheme="majorBidi" w:hAnsiTheme="majorBidi" w:cs="Times New Roman"/>
          <w:sz w:val="24"/>
          <w:szCs w:val="24"/>
        </w:rPr>
        <w:t xml:space="preserve"> context</w:t>
      </w:r>
      <w:r w:rsidRPr="003273CC">
        <w:rPr>
          <w:rFonts w:asciiTheme="majorBidi" w:hAnsiTheme="majorBidi" w:cs="Times New Roman"/>
          <w:sz w:val="24"/>
          <w:szCs w:val="24"/>
        </w:rPr>
        <w:t xml:space="preserve"> </w:t>
      </w:r>
      <w:r w:rsidRPr="003273CC">
        <w:rPr>
          <w:rFonts w:asciiTheme="majorBidi" w:hAnsiTheme="majorBidi" w:cs="Times New Roman"/>
          <w:sz w:val="24"/>
          <w:szCs w:val="24"/>
        </w:rPr>
        <w:fldChar w:fldCharType="begin" w:fldLock="1"/>
      </w:r>
      <w:r w:rsidR="00EE4776">
        <w:rPr>
          <w:rFonts w:asciiTheme="majorBidi" w:hAnsiTheme="majorBidi" w:cs="Times New Roman"/>
          <w:sz w:val="24"/>
          <w:szCs w:val="24"/>
        </w:rPr>
        <w:instrText>ADDIN CSL_CITATION {"citationItems":[{"id":"ITEM-1","itemData":{"author":[{"dropping-particle":"","family":"Gómez","given":"E","non-dropping-particle":"","parse-names":false,"suffix":""},{"dropping-particle":"","family":"Milgram","given":"J","non-dropping-particle":"","parse-names":false,"suffix":""}],"id":"ITEM-1","issued":{"date-parts":[["2010"]]},"publisher":"mimeo","title":"Are estimation techniques neutral to estimate gravity equations? An application to the impact of EMU on third countries’ exports","type":"report"},"uris":["http://www.mendeley.com/documents/?uuid=5ae4de3b-d020-44e6-b91a-d63252f6c0ee"]},{"id":"ITEM-2","itemData":{"ISSN":"1467-9485","author":[{"dropping-particle":"","family":"Feenstra","given":"Robert C","non-dropping-particle":"","parse-names":false,"suffix":""}],"container-title":"Scottish Journal of Political Economy","id":"ITEM-2","issue":"5","issued":{"date-parts":[["2002"]]},"page":"491-506","publisher":"Wiley Online Library","title":"Border effects and the gravity equation: consistent methods for estimation","type":"article-journal","volume":"49"},"uris":["http://www.mendeley.com/documents/?uuid=64fc2daf-c88f-4476-957c-b5a48f0ff1fe"]}],"mendeley":{"formattedCitation":"(Feenstra, 2002; Gómez &amp; Milgram, 2010)","plainTextFormattedCitation":"(Feenstra, 2002; Gómez &amp; Milgram, 2010)","previouslyFormattedCitation":"(Feenstra, 2002; Gómez &amp; Milgram, 2010)"},"properties":{"noteIndex":0},"schema":"https://github.com/citation-style-language/schema/raw/master/csl-citation.json"}</w:instrText>
      </w:r>
      <w:r w:rsidRPr="003273CC">
        <w:rPr>
          <w:rFonts w:asciiTheme="majorBidi" w:hAnsiTheme="majorBidi" w:cs="Times New Roman"/>
          <w:sz w:val="24"/>
          <w:szCs w:val="24"/>
        </w:rPr>
        <w:fldChar w:fldCharType="separate"/>
      </w:r>
      <w:r w:rsidRPr="003273CC">
        <w:rPr>
          <w:rFonts w:asciiTheme="majorBidi" w:hAnsiTheme="majorBidi" w:cs="Times New Roman"/>
          <w:sz w:val="24"/>
          <w:szCs w:val="24"/>
        </w:rPr>
        <w:t>(Feenstra, 2002; Gómez &amp; Milgram, 2010)</w:t>
      </w:r>
      <w:r w:rsidRPr="003273CC">
        <w:rPr>
          <w:rFonts w:asciiTheme="majorBidi" w:hAnsiTheme="majorBidi" w:cs="Times New Roman"/>
          <w:sz w:val="24"/>
          <w:szCs w:val="24"/>
        </w:rPr>
        <w:fldChar w:fldCharType="end"/>
      </w:r>
      <w:r w:rsidRPr="003273CC">
        <w:rPr>
          <w:rFonts w:asciiTheme="majorBidi" w:hAnsiTheme="majorBidi" w:cs="Times New Roman"/>
          <w:sz w:val="24"/>
          <w:szCs w:val="24"/>
        </w:rPr>
        <w:t>.</w:t>
      </w:r>
    </w:p>
    <w:p w:rsidR="00574119" w:rsidRDefault="00574119" w:rsidP="00630441">
      <w:pPr>
        <w:spacing w:after="0" w:line="360" w:lineRule="auto"/>
        <w:ind w:right="360"/>
        <w:jc w:val="both"/>
        <w:rPr>
          <w:rFonts w:asciiTheme="majorBidi" w:hAnsiTheme="majorBidi" w:cs="Times New Roman"/>
          <w:sz w:val="24"/>
          <w:szCs w:val="24"/>
        </w:rPr>
      </w:pPr>
    </w:p>
    <w:p w:rsidR="00630441" w:rsidRPr="008A24A2" w:rsidRDefault="00B33B41" w:rsidP="00574119">
      <w:pPr>
        <w:spacing w:after="0" w:line="360" w:lineRule="auto"/>
        <w:ind w:right="360"/>
        <w:jc w:val="both"/>
        <w:rPr>
          <w:rFonts w:asciiTheme="majorBidi" w:hAnsiTheme="majorBidi" w:cs="Times New Roman"/>
          <w:sz w:val="24"/>
          <w:szCs w:val="24"/>
        </w:rPr>
      </w:pPr>
      <w:r w:rsidRPr="003273CC">
        <w:rPr>
          <w:rFonts w:asciiTheme="majorBidi" w:hAnsiTheme="majorBidi" w:cs="Times New Roman"/>
          <w:sz w:val="24"/>
          <w:szCs w:val="24"/>
        </w:rPr>
        <w:t>Until most recent</w:t>
      </w:r>
      <w:r w:rsidR="00E51ED1">
        <w:rPr>
          <w:rFonts w:asciiTheme="majorBidi" w:hAnsiTheme="majorBidi" w:cs="Times New Roman"/>
          <w:sz w:val="24"/>
          <w:szCs w:val="24"/>
        </w:rPr>
        <w:t>ly</w:t>
      </w:r>
      <w:r w:rsidRPr="003273CC">
        <w:rPr>
          <w:rFonts w:asciiTheme="majorBidi" w:hAnsiTheme="majorBidi" w:cs="Times New Roman"/>
          <w:sz w:val="24"/>
          <w:szCs w:val="24"/>
        </w:rPr>
        <w:t xml:space="preserve">, </w:t>
      </w:r>
      <w:r w:rsidR="00E51ED1">
        <w:rPr>
          <w:rFonts w:asciiTheme="majorBidi" w:hAnsiTheme="majorBidi" w:cs="Times New Roman"/>
          <w:sz w:val="24"/>
          <w:szCs w:val="24"/>
        </w:rPr>
        <w:t>the</w:t>
      </w:r>
      <w:r w:rsidR="00E51ED1" w:rsidRPr="003273CC">
        <w:rPr>
          <w:rFonts w:asciiTheme="majorBidi" w:hAnsiTheme="majorBidi" w:cs="Times New Roman"/>
          <w:sz w:val="24"/>
          <w:szCs w:val="24"/>
        </w:rPr>
        <w:t xml:space="preserve"> </w:t>
      </w:r>
      <w:r w:rsidRPr="003273CC">
        <w:rPr>
          <w:rFonts w:asciiTheme="majorBidi" w:hAnsiTheme="majorBidi" w:cs="Times New Roman"/>
          <w:sz w:val="24"/>
          <w:szCs w:val="24"/>
        </w:rPr>
        <w:t xml:space="preserve">literatures </w:t>
      </w:r>
      <w:r w:rsidR="00E51ED1" w:rsidRPr="003273CC">
        <w:rPr>
          <w:rFonts w:asciiTheme="majorBidi" w:hAnsiTheme="majorBidi" w:cs="Times New Roman"/>
          <w:sz w:val="24"/>
          <w:szCs w:val="24"/>
        </w:rPr>
        <w:t>ha</w:t>
      </w:r>
      <w:r w:rsidR="00E51ED1">
        <w:rPr>
          <w:rFonts w:asciiTheme="majorBidi" w:hAnsiTheme="majorBidi" w:cs="Times New Roman"/>
          <w:sz w:val="24"/>
          <w:szCs w:val="24"/>
        </w:rPr>
        <w:t>s</w:t>
      </w:r>
      <w:r w:rsidR="00E51ED1" w:rsidRPr="003273CC">
        <w:rPr>
          <w:rFonts w:asciiTheme="majorBidi" w:hAnsiTheme="majorBidi" w:cs="Times New Roman"/>
          <w:sz w:val="24"/>
          <w:szCs w:val="24"/>
        </w:rPr>
        <w:t xml:space="preserve"> </w:t>
      </w:r>
      <w:r w:rsidRPr="003273CC">
        <w:rPr>
          <w:rFonts w:asciiTheme="majorBidi" w:hAnsiTheme="majorBidi" w:cs="Times New Roman"/>
          <w:sz w:val="24"/>
          <w:szCs w:val="24"/>
        </w:rPr>
        <w:t>approached the issue of zero trade flow by either omitting the zero pairs from the data or replacing it with a very small number</w:t>
      </w:r>
      <w:r w:rsidR="00E51ED1">
        <w:rPr>
          <w:rFonts w:asciiTheme="majorBidi" w:hAnsiTheme="majorBidi" w:cs="Times New Roman"/>
          <w:sz w:val="24"/>
          <w:szCs w:val="24"/>
        </w:rPr>
        <w:t xml:space="preserve"> so that </w:t>
      </w:r>
      <w:r w:rsidR="004F6B98">
        <w:rPr>
          <w:rFonts w:asciiTheme="majorBidi" w:hAnsiTheme="majorBidi" w:cs="Times New Roman"/>
          <w:sz w:val="24"/>
          <w:szCs w:val="24"/>
        </w:rPr>
        <w:t>the logarithmic form of the model can</w:t>
      </w:r>
      <w:r w:rsidR="009938A7">
        <w:rPr>
          <w:rFonts w:asciiTheme="majorBidi" w:hAnsiTheme="majorBidi" w:cs="Times New Roman"/>
          <w:sz w:val="24"/>
          <w:szCs w:val="24"/>
        </w:rPr>
        <w:t xml:space="preserve"> </w:t>
      </w:r>
      <w:r w:rsidR="004F6B98">
        <w:rPr>
          <w:rFonts w:asciiTheme="majorBidi" w:hAnsiTheme="majorBidi" w:cs="Times New Roman"/>
          <w:sz w:val="24"/>
          <w:szCs w:val="24"/>
        </w:rPr>
        <w:t>be used</w:t>
      </w:r>
      <w:r w:rsidRPr="003273CC">
        <w:rPr>
          <w:rFonts w:asciiTheme="majorBidi" w:hAnsiTheme="majorBidi" w:cs="Times New Roman"/>
          <w:sz w:val="24"/>
          <w:szCs w:val="24"/>
        </w:rPr>
        <w:fldChar w:fldCharType="begin" w:fldLock="1"/>
      </w:r>
      <w:r w:rsidR="00DD52B9">
        <w:rPr>
          <w:rFonts w:asciiTheme="majorBidi" w:hAnsiTheme="majorBidi" w:cs="Times New Roman"/>
          <w:sz w:val="24"/>
          <w:szCs w:val="24"/>
        </w:rPr>
        <w:instrText>ADDIN CSL_CITATION {"citationItems":[{"id":"ITEM-1","itemData":{"ISSN":"1350-4851","author":[{"dropping-particle":"","family":"Arvis","given":"Jean-Francois","non-dropping-particle":"","parse-names":false,"suffix":""},{"dropping-particle":"","family":"Shepherd","given":"Ben","non-dropping-particle":"","parse-names":false,"suffix":""}],"container-title":"Applied Economics Letters","id":"ITEM-1","issue":"6","issued":{"date-parts":[["2011"]]},"page":"515-519","publisher":"Taylor &amp; Francis","title":"The Poisson quasi-maximum likelihood estimator: a solution to the ‘adding up’problem in gravity models","type":"article-journal","volume":"20"},"uris":["http://www.mendeley.com/documents/?uuid=00a8b360-b77b-4485-91ff-d09c54bf4978"]}],"mendeley":{"formattedCitation":"(Arvis &amp; Shepherd, 2011)","manualFormatting":". Arvis &amp; Shepherd (2011)","plainTextFormattedCitation":"(Arvis &amp; Shepherd, 2011)","previouslyFormattedCitation":"(Arvis &amp; Shepherd, 2011)"},"properties":{"noteIndex":0},"schema":"https://github.com/citation-style-language/schema/raw/master/csl-citation.json"}</w:instrText>
      </w:r>
      <w:r w:rsidRPr="003273CC">
        <w:rPr>
          <w:rFonts w:asciiTheme="majorBidi" w:hAnsiTheme="majorBidi" w:cs="Times New Roman"/>
          <w:sz w:val="24"/>
          <w:szCs w:val="24"/>
        </w:rPr>
        <w:fldChar w:fldCharType="separate"/>
      </w:r>
      <w:r w:rsidR="009938A7">
        <w:rPr>
          <w:rFonts w:asciiTheme="majorBidi" w:hAnsiTheme="majorBidi" w:cs="Times New Roman"/>
          <w:sz w:val="24"/>
          <w:szCs w:val="24"/>
        </w:rPr>
        <w:t xml:space="preserve">. </w:t>
      </w:r>
      <w:r w:rsidRPr="003273CC">
        <w:rPr>
          <w:rFonts w:asciiTheme="majorBidi" w:hAnsiTheme="majorBidi" w:cs="Times New Roman"/>
          <w:sz w:val="24"/>
          <w:szCs w:val="24"/>
        </w:rPr>
        <w:t>Arvis &amp; Shepherd</w:t>
      </w:r>
      <w:r w:rsidR="004D13C6">
        <w:rPr>
          <w:rFonts w:asciiTheme="majorBidi" w:hAnsiTheme="majorBidi" w:cs="Times New Roman"/>
          <w:sz w:val="24"/>
          <w:szCs w:val="24"/>
        </w:rPr>
        <w:t xml:space="preserve"> (</w:t>
      </w:r>
      <w:r w:rsidRPr="003273CC">
        <w:rPr>
          <w:rFonts w:asciiTheme="majorBidi" w:hAnsiTheme="majorBidi" w:cs="Times New Roman"/>
          <w:sz w:val="24"/>
          <w:szCs w:val="24"/>
        </w:rPr>
        <w:t>2011)</w:t>
      </w:r>
      <w:r w:rsidRPr="003273CC">
        <w:rPr>
          <w:rFonts w:asciiTheme="majorBidi" w:hAnsiTheme="majorBidi" w:cs="Times New Roman"/>
          <w:sz w:val="24"/>
          <w:szCs w:val="24"/>
        </w:rPr>
        <w:fldChar w:fldCharType="end"/>
      </w:r>
      <w:r w:rsidR="004D13C6">
        <w:rPr>
          <w:rFonts w:asciiTheme="majorBidi" w:hAnsiTheme="majorBidi" w:cs="Times New Roman"/>
          <w:sz w:val="24"/>
          <w:szCs w:val="24"/>
        </w:rPr>
        <w:t xml:space="preserve"> and </w:t>
      </w:r>
      <w:r>
        <w:rPr>
          <w:rFonts w:asciiTheme="majorBidi" w:hAnsiTheme="majorBidi" w:cs="Times New Roman"/>
          <w:sz w:val="24"/>
          <w:szCs w:val="24"/>
        </w:rPr>
        <w:fldChar w:fldCharType="begin" w:fldLock="1"/>
      </w:r>
      <w:r w:rsidR="00EE4776">
        <w:rPr>
          <w:rFonts w:asciiTheme="majorBidi" w:hAnsiTheme="majorBidi" w:cs="Times New Roman"/>
          <w:sz w:val="24"/>
          <w:szCs w:val="24"/>
        </w:rPr>
        <w:instrText>ADDIN CSL_CITATION {"citationItems":[{"id":"ITEM-1","itemData":{"ISSN":"1531-4650","author":[{"dropping-particle":"","family":"Helpman","given":"Elhanan","non-dropping-particle":"","parse-names":false,"suffix":""},{"dropping-particle":"","family":"Melitz","given":"Marc","non-dropping-particle":"","parse-names":false,"suffix":""},{"dropping-particle":"","family":"Rubinstein","given":"Yona","non-dropping-particle":"","parse-names":false,"suffix":""}],"container-title":"The Quarterly Journal of Economics","id":"ITEM-1","issue":"2","issued":{"date-parts":[["2008"]]},"page":"441-487","publisher":"MIT Press","title":"Estimating trade flows: Trading partners and trading volumes","type":"article-journal","volume":"123"},"uris":["http://www.mendeley.com/documents/?uuid=aecea7f5-79e6-4b93-b0ad-b855fcaa13c8"]}],"mendeley":{"formattedCitation":"(Helpman, Melitz, &amp; Rubinstein, 2008)","manualFormatting":"Helpman et.al (2008)","plainTextFormattedCitation":"(Helpman, Melitz, &amp; Rubinstein, 2008)","previouslyFormattedCitation":"(Helpman, Melitz, &amp; Rubinstein, 2008)"},"properties":{"noteIndex":0},"schema":"https://github.com/citation-style-language/schema/raw/master/csl-citation.json"}</w:instrText>
      </w:r>
      <w:r>
        <w:rPr>
          <w:rFonts w:asciiTheme="majorBidi" w:hAnsiTheme="majorBidi" w:cs="Times New Roman"/>
          <w:sz w:val="24"/>
          <w:szCs w:val="24"/>
        </w:rPr>
        <w:fldChar w:fldCharType="separate"/>
      </w:r>
      <w:r w:rsidRPr="003273CC">
        <w:rPr>
          <w:rFonts w:asciiTheme="majorBidi" w:hAnsiTheme="majorBidi" w:cs="Times New Roman"/>
          <w:sz w:val="24"/>
          <w:szCs w:val="24"/>
        </w:rPr>
        <w:t>Helpman et.al</w:t>
      </w:r>
      <w:r>
        <w:rPr>
          <w:rFonts w:asciiTheme="majorBidi" w:hAnsiTheme="majorBidi" w:cs="Times New Roman"/>
          <w:sz w:val="24"/>
          <w:szCs w:val="24"/>
        </w:rPr>
        <w:t xml:space="preserve"> </w:t>
      </w:r>
      <w:r w:rsidRPr="003273CC">
        <w:rPr>
          <w:rFonts w:asciiTheme="majorBidi" w:hAnsiTheme="majorBidi" w:cs="Times New Roman"/>
          <w:sz w:val="24"/>
          <w:szCs w:val="24"/>
        </w:rPr>
        <w:t>(2008)</w:t>
      </w:r>
      <w:r>
        <w:rPr>
          <w:rFonts w:asciiTheme="majorBidi" w:hAnsiTheme="majorBidi" w:cs="Times New Roman"/>
          <w:sz w:val="24"/>
          <w:szCs w:val="24"/>
        </w:rPr>
        <w:fldChar w:fldCharType="end"/>
      </w:r>
      <w:r w:rsidRPr="003273CC">
        <w:rPr>
          <w:rFonts w:asciiTheme="majorBidi" w:hAnsiTheme="majorBidi" w:cs="Times New Roman"/>
          <w:sz w:val="24"/>
          <w:szCs w:val="24"/>
        </w:rPr>
        <w:t xml:space="preserve"> argued that dropping of the </w:t>
      </w:r>
      <w:r w:rsidR="004D13C6">
        <w:rPr>
          <w:rFonts w:asciiTheme="majorBidi" w:hAnsiTheme="majorBidi" w:cs="Times New Roman"/>
          <w:sz w:val="24"/>
          <w:szCs w:val="24"/>
        </w:rPr>
        <w:t xml:space="preserve">zero </w:t>
      </w:r>
      <w:r w:rsidRPr="003273CC">
        <w:rPr>
          <w:rFonts w:asciiTheme="majorBidi" w:hAnsiTheme="majorBidi" w:cs="Times New Roman"/>
          <w:sz w:val="24"/>
          <w:szCs w:val="24"/>
        </w:rPr>
        <w:t>observations deprive the analysis of obtaining systematic information which zero trade flow might contain. Furthermore, most trade data are not often free from Heteroscedasticity</w:t>
      </w:r>
      <w:r>
        <w:rPr>
          <w:rFonts w:asciiTheme="majorBidi" w:hAnsiTheme="majorBidi" w:cs="Times New Roman"/>
          <w:sz w:val="24"/>
          <w:szCs w:val="24"/>
        </w:rPr>
        <w:t xml:space="preserve"> and t</w:t>
      </w:r>
      <w:r w:rsidRPr="003273CC">
        <w:rPr>
          <w:rFonts w:asciiTheme="majorBidi" w:hAnsiTheme="majorBidi" w:cs="Times New Roman"/>
          <w:sz w:val="24"/>
          <w:szCs w:val="24"/>
        </w:rPr>
        <w:t xml:space="preserve">he application of OLS estimator to Log-linear model in </w:t>
      </w:r>
      <w:r>
        <w:rPr>
          <w:rFonts w:asciiTheme="majorBidi" w:hAnsiTheme="majorBidi" w:cs="Times New Roman"/>
          <w:sz w:val="24"/>
          <w:szCs w:val="24"/>
        </w:rPr>
        <w:t>this context is not valid. T</w:t>
      </w:r>
      <w:r w:rsidRPr="003273CC">
        <w:rPr>
          <w:rFonts w:asciiTheme="majorBidi" w:hAnsiTheme="majorBidi" w:cs="Times New Roman"/>
          <w:sz w:val="24"/>
          <w:szCs w:val="24"/>
        </w:rPr>
        <w:t>he presence of heteroskedastic disturbance can generate inconsistent estimates due to not fulfilling the Jensen’s in- equality</w:t>
      </w:r>
      <w:r w:rsidRPr="003273CC">
        <w:rPr>
          <w:rStyle w:val="FootnoteReference"/>
          <w:rFonts w:cs="Arial"/>
        </w:rPr>
        <w:footnoteReference w:id="10"/>
      </w:r>
      <w:r w:rsidRPr="003273CC">
        <w:rPr>
          <w:rFonts w:asciiTheme="majorBidi" w:hAnsiTheme="majorBidi" w:cs="Times New Roman"/>
          <w:sz w:val="24"/>
          <w:szCs w:val="24"/>
        </w:rPr>
        <w:t xml:space="preserve"> and </w:t>
      </w:r>
      <w:r>
        <w:rPr>
          <w:rFonts w:asciiTheme="majorBidi" w:hAnsiTheme="majorBidi" w:cs="Times New Roman"/>
          <w:sz w:val="24"/>
          <w:szCs w:val="24"/>
        </w:rPr>
        <w:t>produces</w:t>
      </w:r>
      <w:r w:rsidRPr="003273CC">
        <w:rPr>
          <w:rFonts w:asciiTheme="majorBidi" w:hAnsiTheme="majorBidi" w:cs="Times New Roman"/>
          <w:sz w:val="24"/>
          <w:szCs w:val="24"/>
        </w:rPr>
        <w:t xml:space="preserve"> large variance for small trade values </w:t>
      </w:r>
      <w:r w:rsidRPr="003273CC">
        <w:rPr>
          <w:rFonts w:asciiTheme="majorBidi" w:hAnsiTheme="majorBidi" w:cs="Times New Roman"/>
          <w:sz w:val="24"/>
          <w:szCs w:val="24"/>
        </w:rPr>
        <w:fldChar w:fldCharType="begin" w:fldLock="1"/>
      </w:r>
      <w:r w:rsidR="00EE4776">
        <w:rPr>
          <w:rFonts w:asciiTheme="majorBidi" w:hAnsiTheme="majorBidi" w:cs="Times New Roman"/>
          <w:sz w:val="24"/>
          <w:szCs w:val="24"/>
        </w:rPr>
        <w:instrText>ADDIN CSL_CITATION {"citationItems":[{"id":"ITEM-1","itemData":{"DOI":"10.1080/00036846.2011.599786","ISBN":"0003-6846","ISSN":"00036846","PMID":"887494","abstract":"—Although economists have long been aware of Jensen's in-equality, many econometric applications have neglected an important implication of it: under heteroskedasticity, the parameters of log-linearized models estimated by OLS lead to biased estimates of the true elasticities. We explain why this problem arises and propose an appropri-ate estimator. Our criticism of conventional practices and the proposed solution extend to a broad range of applications where log-linearized equations are estimated. We develop the argument using one particular illustration, the gravity equation for trade. We find significant differences between estimates obtained with the proposed estimator and those ob-tained with the traditional method.","author":[{"dropping-particle":"","family":"Santos Silva","given":"J.M.C.","non-dropping-particle":"","parse-names":false,"suffix":""},{"dropping-particle":"","family":"Tenreyro","given":"Silvana","non-dropping-particle":"","parse-names":false,"suffix":""}],"container-title":"The Review of Economics and Statistics","id":"ITEM-1","issue":"4","issued":{"date-parts":[["2006"]]},"page":"641-658.","title":"The Log of Gravity","type":"article-journal","volume":"88"},"uris":["http://www.mendeley.com/documents/?uuid=6dfac525-ba8a-49c0-b4f1-a79375e4c589"]},{"id":"ITEM-2","itemData":{"ISSN":"1350-4851","author":[{"dropping-particle":"","family":"Arvis","given":"Jean-Francois","non-dropping-particle":"","parse-names":false,"suffix":""},{"dropping-particle":"","family":"Shepherd","given":"Ben","non-dropping-particle":"","parse-names":false,"suffix":""}],"container-title":"Applied Economics Letters","id":"ITEM-2","issue":"6","issued":{"date-parts":[["2011"]]},"page":"515-519","publisher":"Taylor &amp; Francis","title":"The Poisson quasi-maximum likelihood estimator: a solution to the ‘adding up’problem in gravity models","type":"article-journal","volume":"20"},"uris":["http://www.mendeley.com/documents/?uuid=00a8b360-b77b-4485-91ff-d09c54bf4978"]}],"mendeley":{"formattedCitation":"(Arvis &amp; Shepherd, 2011; Santos Silva &amp; Tenreyro, 2006)","plainTextFormattedCitation":"(Arvis &amp; Shepherd, 2011; Santos Silva &amp; Tenreyro, 2006)","previouslyFormattedCitation":"(Arvis &amp; Shepherd, 2011; Santos Silva &amp; Tenreyro, 2006)"},"properties":{"noteIndex":0},"schema":"https://github.com/citation-style-language/schema/raw/master/csl-citation.json"}</w:instrText>
      </w:r>
      <w:r w:rsidRPr="003273CC">
        <w:rPr>
          <w:rFonts w:asciiTheme="majorBidi" w:hAnsiTheme="majorBidi" w:cs="Times New Roman"/>
          <w:sz w:val="24"/>
          <w:szCs w:val="24"/>
        </w:rPr>
        <w:fldChar w:fldCharType="separate"/>
      </w:r>
      <w:r w:rsidRPr="003273CC">
        <w:rPr>
          <w:rFonts w:asciiTheme="majorBidi" w:hAnsiTheme="majorBidi" w:cs="Times New Roman"/>
          <w:sz w:val="24"/>
          <w:szCs w:val="24"/>
        </w:rPr>
        <w:t>(</w:t>
      </w:r>
      <w:r w:rsidR="00574119" w:rsidRPr="00574119">
        <w:rPr>
          <w:rFonts w:asciiTheme="majorBidi" w:hAnsiTheme="majorBidi" w:cs="Times New Roman"/>
          <w:sz w:val="24"/>
          <w:szCs w:val="24"/>
        </w:rPr>
        <w:t xml:space="preserve"> </w:t>
      </w:r>
      <w:r w:rsidR="00574119" w:rsidRPr="003273CC">
        <w:rPr>
          <w:rFonts w:asciiTheme="majorBidi" w:hAnsiTheme="majorBidi" w:cs="Times New Roman"/>
          <w:sz w:val="24"/>
          <w:szCs w:val="24"/>
        </w:rPr>
        <w:t>Santos Silva &amp; Tenreyro, 2006</w:t>
      </w:r>
      <w:r w:rsidR="00574119">
        <w:rPr>
          <w:rFonts w:asciiTheme="majorBidi" w:hAnsiTheme="majorBidi" w:cs="Times New Roman"/>
          <w:sz w:val="24"/>
          <w:szCs w:val="24"/>
        </w:rPr>
        <w:t xml:space="preserve">; </w:t>
      </w:r>
      <w:r w:rsidRPr="003273CC">
        <w:rPr>
          <w:rFonts w:asciiTheme="majorBidi" w:hAnsiTheme="majorBidi" w:cs="Times New Roman"/>
          <w:sz w:val="24"/>
          <w:szCs w:val="24"/>
        </w:rPr>
        <w:t>Arvis &amp; Shepherd, 2011</w:t>
      </w:r>
      <w:r w:rsidR="00574119">
        <w:rPr>
          <w:rFonts w:asciiTheme="majorBidi" w:hAnsiTheme="majorBidi" w:cs="Times New Roman"/>
          <w:sz w:val="24"/>
          <w:szCs w:val="24"/>
        </w:rPr>
        <w:t>)</w:t>
      </w:r>
      <w:r w:rsidRPr="003273CC">
        <w:rPr>
          <w:rFonts w:asciiTheme="majorBidi" w:hAnsiTheme="majorBidi" w:cs="Times New Roman"/>
          <w:sz w:val="24"/>
          <w:szCs w:val="24"/>
        </w:rPr>
        <w:t xml:space="preserve">; </w:t>
      </w:r>
      <w:r w:rsidRPr="003273CC">
        <w:rPr>
          <w:rFonts w:asciiTheme="majorBidi" w:hAnsiTheme="majorBidi" w:cs="Times New Roman"/>
          <w:sz w:val="24"/>
          <w:szCs w:val="24"/>
        </w:rPr>
        <w:fldChar w:fldCharType="end"/>
      </w:r>
      <w:r w:rsidRPr="003273CC">
        <w:rPr>
          <w:rFonts w:asciiTheme="majorBidi" w:hAnsiTheme="majorBidi" w:cs="Times New Roman"/>
          <w:sz w:val="24"/>
          <w:szCs w:val="24"/>
        </w:rPr>
        <w:t>. As a result, a non-linear estimation</w:t>
      </w:r>
      <w:r>
        <w:rPr>
          <w:rFonts w:asciiTheme="majorBidi" w:hAnsiTheme="majorBidi" w:cs="Times New Roman"/>
          <w:sz w:val="24"/>
          <w:szCs w:val="24"/>
        </w:rPr>
        <w:t xml:space="preserve"> in </w:t>
      </w:r>
      <w:r w:rsidRPr="00237099">
        <w:rPr>
          <w:rFonts w:asciiTheme="majorBidi" w:hAnsiTheme="majorBidi" w:cs="Times New Roman"/>
          <w:sz w:val="24"/>
          <w:szCs w:val="24"/>
        </w:rPr>
        <w:t xml:space="preserve">multiplicative </w:t>
      </w:r>
      <w:r>
        <w:rPr>
          <w:rFonts w:asciiTheme="majorBidi" w:hAnsiTheme="majorBidi" w:cs="Times New Roman"/>
          <w:sz w:val="24"/>
          <w:szCs w:val="24"/>
        </w:rPr>
        <w:t>form</w:t>
      </w:r>
      <w:r w:rsidRPr="003273CC">
        <w:rPr>
          <w:rFonts w:asciiTheme="majorBidi" w:hAnsiTheme="majorBidi" w:cs="Times New Roman"/>
          <w:sz w:val="24"/>
          <w:szCs w:val="24"/>
        </w:rPr>
        <w:t xml:space="preserve"> is desired.</w:t>
      </w:r>
      <w:r w:rsidRPr="003273CC">
        <w:rPr>
          <w:rFonts w:ascii="Times New Roman" w:hAnsi="Times New Roman" w:cs="Times New Roman"/>
          <w:sz w:val="24"/>
          <w:szCs w:val="24"/>
        </w:rPr>
        <w:t xml:space="preserve"> Among various </w:t>
      </w:r>
      <w:r w:rsidRPr="003273CC">
        <w:rPr>
          <w:rFonts w:asciiTheme="majorBidi" w:hAnsiTheme="majorBidi" w:cs="Times New Roman"/>
          <w:sz w:val="24"/>
          <w:szCs w:val="24"/>
        </w:rPr>
        <w:t>non-linear estimator, t</w:t>
      </w:r>
      <w:r w:rsidRPr="003273CC">
        <w:rPr>
          <w:rFonts w:ascii="Times New Roman" w:hAnsi="Times New Roman" w:cs="Times New Roman"/>
          <w:sz w:val="24"/>
          <w:szCs w:val="24"/>
        </w:rPr>
        <w:t>he choice of PPML estimator for the structural model</w:t>
      </w:r>
      <w:r w:rsidR="004D13C6">
        <w:rPr>
          <w:rFonts w:ascii="Times New Roman" w:hAnsi="Times New Roman" w:cs="Times New Roman"/>
          <w:sz w:val="24"/>
          <w:szCs w:val="24"/>
        </w:rPr>
        <w:t xml:space="preserve"> </w:t>
      </w:r>
      <w:r w:rsidRPr="003273CC">
        <w:rPr>
          <w:rFonts w:ascii="Times New Roman" w:hAnsi="Times New Roman" w:cs="Times New Roman"/>
          <w:sz w:val="24"/>
          <w:szCs w:val="24"/>
        </w:rPr>
        <w:t xml:space="preserve">is preferred for four reasons. Firstly, since trade data are not usually free from problem of heteroscedasticity and zero trade flow, </w:t>
      </w:r>
      <w:r w:rsidRPr="00237099">
        <w:rPr>
          <w:rFonts w:ascii="Times New Roman" w:hAnsi="Times New Roman" w:cs="Times New Roman"/>
          <w:sz w:val="24"/>
          <w:szCs w:val="24"/>
        </w:rPr>
        <w:t>P</w:t>
      </w:r>
      <w:r w:rsidR="00FF13FE">
        <w:rPr>
          <w:rFonts w:ascii="Times New Roman" w:hAnsi="Times New Roman" w:cs="Times New Roman"/>
          <w:sz w:val="24"/>
          <w:szCs w:val="24"/>
        </w:rPr>
        <w:t>P</w:t>
      </w:r>
      <w:r w:rsidRPr="00237099">
        <w:rPr>
          <w:rFonts w:ascii="Times New Roman" w:hAnsi="Times New Roman" w:cs="Times New Roman"/>
          <w:sz w:val="24"/>
          <w:szCs w:val="24"/>
        </w:rPr>
        <w:t xml:space="preserve">ML makes the estimation </w:t>
      </w:r>
      <w:r w:rsidR="004D13C6">
        <w:rPr>
          <w:rFonts w:ascii="Times New Roman" w:hAnsi="Times New Roman" w:cs="Times New Roman"/>
          <w:sz w:val="24"/>
          <w:szCs w:val="24"/>
        </w:rPr>
        <w:t>with</w:t>
      </w:r>
      <w:r w:rsidR="004D13C6" w:rsidRPr="00237099">
        <w:rPr>
          <w:rFonts w:ascii="Times New Roman" w:hAnsi="Times New Roman" w:cs="Times New Roman"/>
          <w:sz w:val="24"/>
          <w:szCs w:val="24"/>
        </w:rPr>
        <w:t xml:space="preserve"> </w:t>
      </w:r>
      <w:r w:rsidRPr="00237099">
        <w:rPr>
          <w:rFonts w:ascii="Times New Roman" w:hAnsi="Times New Roman" w:cs="Times New Roman"/>
          <w:sz w:val="24"/>
          <w:szCs w:val="24"/>
        </w:rPr>
        <w:t>zero trade feasible.</w:t>
      </w:r>
      <w:r>
        <w:rPr>
          <w:rFonts w:ascii="Times New Roman" w:hAnsi="Times New Roman" w:cs="Times New Roman"/>
          <w:sz w:val="24"/>
          <w:szCs w:val="24"/>
        </w:rPr>
        <w:t xml:space="preserve"> </w:t>
      </w:r>
      <w:r w:rsidR="004D13C6">
        <w:rPr>
          <w:rFonts w:ascii="Times New Roman" w:hAnsi="Times New Roman" w:cs="Times New Roman"/>
          <w:sz w:val="24"/>
          <w:szCs w:val="24"/>
        </w:rPr>
        <w:t xml:space="preserve">In </w:t>
      </w:r>
      <w:r>
        <w:rPr>
          <w:rFonts w:ascii="Times New Roman" w:hAnsi="Times New Roman" w:cs="Times New Roman"/>
          <w:sz w:val="24"/>
          <w:szCs w:val="24"/>
        </w:rPr>
        <w:t xml:space="preserve">presence of heteroscedastic disturbance, it has </w:t>
      </w:r>
      <w:r w:rsidRPr="003273CC">
        <w:rPr>
          <w:rFonts w:ascii="Times New Roman" w:hAnsi="Times New Roman" w:cs="Times New Roman"/>
          <w:sz w:val="24"/>
          <w:szCs w:val="24"/>
        </w:rPr>
        <w:t xml:space="preserve">shown more </w:t>
      </w:r>
      <w:r w:rsidR="004D13C6">
        <w:rPr>
          <w:rFonts w:ascii="Times New Roman" w:hAnsi="Times New Roman" w:cs="Times New Roman"/>
          <w:sz w:val="24"/>
          <w:szCs w:val="24"/>
        </w:rPr>
        <w:t xml:space="preserve">estimation </w:t>
      </w:r>
      <w:r w:rsidRPr="003273CC">
        <w:rPr>
          <w:rFonts w:ascii="Times New Roman" w:hAnsi="Times New Roman" w:cs="Times New Roman"/>
          <w:sz w:val="24"/>
          <w:szCs w:val="24"/>
        </w:rPr>
        <w:t>consistency when compared to OLS and other nonlinear estimator</w:t>
      </w:r>
      <w:r w:rsidRPr="003273CC">
        <w:rPr>
          <w:rStyle w:val="FootnoteReference"/>
          <w:rFonts w:cs="Arial"/>
        </w:rPr>
        <w:footnoteReference w:id="11"/>
      </w:r>
      <w:r>
        <w:rPr>
          <w:rFonts w:ascii="Times New Roman" w:hAnsi="Times New Roman" w:cs="Times New Roman"/>
          <w:sz w:val="24"/>
          <w:szCs w:val="24"/>
        </w:rPr>
        <w:t xml:space="preserve"> </w:t>
      </w:r>
      <w:r w:rsidRPr="003273CC">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{"citationItems":[{"id":"ITEM-1","itemData":{"DOI":"10.1080/00036846.2011.599786","ISBN":"0003-6846","ISSN":"00036846","PMID":"887494","abstract":"—Although economists have long been aware of Jensen's in-equality, many econometric applications have neglected an important implication of it: under heteroskedasticity, the parameters of log-linearized models estimated by OLS lead to biased estimates of the true elasticities. We explain why this problem arises and propose an appropri-ate estimator. Our criticism of conventional practices and the proposed solution extend to a broad range of applications where log-linearized equations are estimated. We develop the argument using one particular illustration, the gravity equation for trade. We find significant differences between estimates obtained with the proposed estimator and those ob-tained with the traditional method.","author":[{"dropping-particle":"","family":"Santos Silva","given":"J.M.C.","non-dropping-particle":"","parse-names":false,"suffix":""},{"dropping-particle":"","family":"Tenreyro","given":"Silvana","non-dropping-particle":"","parse-names":false,"suffix":""}],"container-title":"The Review of Economics and Statistics","id":"ITEM-1","issue":"4","issued":{"date-parts":[["2006"]]},"page":"641-658.","title":"The Log of Gravity","type":"article-journal","volume":"88"},"uris":["http://www.mendeley.com/documents/?uuid=6dfac525-ba8a-49c0-b4f1-a79375e4c589"]},{"id":"ITEM-2","itemData":{"ISBN":"9287043671","author":[{"dropping-particle":"V","family":"Yotov","given":"Yoto","non-dropping-particle":"","parse-names":false,"suffix":""},{"dropping-particle":"","family":"Piermartini","given":"Roberta","non-dropping-particle":"","parse-names":false,"suffix":""},{"dropping-particle":"","family":"Monteiro","given":"José-Antonio","non-dropping-particle":"","parse-names":false,"suffix":""},{"dropping-particle":"","family":"Larch","given":"Mario","non-dropping-particle":"","parse-names":false,"suffix":""}],"id":"ITEM-2","issued":{"date-parts":[["2016"]]},"publisher":"World Trade Organization","title":"An advanced guide to trade policy analysis: The structural gravity model","type":"book"},"uris":["http://www.mendeley.com/documents/?uuid=f043c798-1e8e-4edc-a1d7-1525a6573508"]},{"id":"ITEM-3","itemData":{"ISSN":"1350-4851","author":[{"dropping-particle":"","family":"Arvis","given":"Jean-Francois","non-dropping-particle":"","parse-names":false,"suffix":""},{"dropping-particle":"","family":"Shepherd","given":"Ben","non-dropping-particle":"","parse-names":false,"suffix":""}],"container-title":"Applied Economics Letters","id":"ITEM-3","issue":"6","issued":{"date-parts":[["2011"]]},"page":"515-519","publisher":"Taylor &amp; Francis","title":"The Poisson quasi-maximum likelihood estimator: a solution to the ‘adding up’problem in gravity models","type":"article-journal","volume":"20"},"uris":["http://www.mendeley.com/documents/?uuid=00a8b360-b77b-4485-91ff-d09c54bf4978"]}],"mendeley":{"formattedCitation":"(Arvis &amp; Shepherd, 2011; Santos Silva &amp; Tenreyro, 2006; Yotov et al., 2016)","manualFormatting":"(Arvis &amp; Shepherd, 2011; Santos Silva &amp; Tenreyro, 2006; Yotov et.al 2016)","plainTextFormattedCitation":"(Arvis &amp; Shepherd, 2011; Santos Silva &amp; Tenreyro, 2006; Yotov et al., 2016)","previouslyFormattedCitation":"(Arvis &amp; Shepherd, 2011; Santos Silva &amp; Tenreyro, 2006; Yotov et al., 2016)"},"properties":{"noteIndex":0},"schema":"https://github.com/citation-style-language/schema/raw/master/csl-citation.json"}</w:instrText>
      </w:r>
      <w:r w:rsidRPr="003273CC">
        <w:rPr>
          <w:rFonts w:ascii="Times New Roman" w:hAnsi="Times New Roman" w:cs="Times New Roman"/>
          <w:sz w:val="24"/>
          <w:szCs w:val="24"/>
        </w:rPr>
        <w:fldChar w:fldCharType="separate"/>
      </w:r>
      <w:r w:rsidRPr="003273CC">
        <w:rPr>
          <w:rFonts w:ascii="Times New Roman" w:hAnsi="Times New Roman" w:cs="Times New Roman"/>
          <w:sz w:val="24"/>
          <w:szCs w:val="24"/>
        </w:rPr>
        <w:t xml:space="preserve">( Santos Silva &amp; Tenreyro, 2006; </w:t>
      </w:r>
      <w:r w:rsidR="00574119" w:rsidRPr="003273CC">
        <w:rPr>
          <w:rFonts w:ascii="Times New Roman" w:hAnsi="Times New Roman" w:cs="Times New Roman"/>
          <w:sz w:val="24"/>
          <w:szCs w:val="24"/>
        </w:rPr>
        <w:t>Arvis &amp; Shepherd, 2011;</w:t>
      </w:r>
      <w:r w:rsidR="00574119">
        <w:rPr>
          <w:rFonts w:ascii="Times New Roman" w:hAnsi="Times New Roman" w:cs="Times New Roman"/>
          <w:sz w:val="24"/>
          <w:szCs w:val="24"/>
        </w:rPr>
        <w:t xml:space="preserve"> </w:t>
      </w:r>
      <w:r w:rsidRPr="003273CC">
        <w:rPr>
          <w:rFonts w:ascii="Times New Roman" w:hAnsi="Times New Roman" w:cs="Times New Roman"/>
          <w:sz w:val="24"/>
          <w:szCs w:val="24"/>
        </w:rPr>
        <w:t>Yotov et.al 2016)</w:t>
      </w:r>
      <w:r w:rsidRPr="003273CC">
        <w:rPr>
          <w:rFonts w:ascii="Times New Roman" w:hAnsi="Times New Roman" w:cs="Times New Roman"/>
          <w:sz w:val="24"/>
          <w:szCs w:val="24"/>
        </w:rPr>
        <w:fldChar w:fldCharType="end"/>
      </w:r>
      <w:r w:rsidRPr="003273CC">
        <w:rPr>
          <w:rFonts w:ascii="Times New Roman" w:hAnsi="Times New Roman" w:cs="Times New Roman"/>
          <w:sz w:val="24"/>
          <w:szCs w:val="24"/>
        </w:rPr>
        <w:t xml:space="preserve">. Secondly, combination of PPML with fixed effect help cater for the unobservable multilateral trade resistance terms (MTR) and produces consistent estimates when dummy variable are utilized </w:t>
      </w:r>
      <w:r w:rsidRPr="003273CC">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{"citationItems":[{"id":"ITEM-1","itemData":{"ISSN":"0022-1996","author":[{"dropping-particle":"","family":"Fally","given":"Thibault","non-dropping-particle":"","parse-names":false,"suffix":""}],"container-title":"Journal of International Economics","id":"ITEM-1","issue":"1","issued":{"date-parts":[["2015"]]},"page":"76-85","publisher":"Elsevier","title":"Structural gravity and fixed effects","type":"article-journal","volume":"97"},"uris":["http://www.mendeley.com/documents/?uuid=24bb3856-af59-4db5-a3f6-0614afd69e83"]}],"mendeley":{"formattedCitation":"(Fally, 2015)","plainTextFormattedCitation":"(Fally, 2015)","previouslyFormattedCitation":"(Fally, 2015)"},"properties":{"noteIndex":0},"schema":"https://github.com/citation-style-language/schema/raw/master/csl-citation.json"}</w:instrText>
      </w:r>
      <w:r w:rsidRPr="003273CC">
        <w:rPr>
          <w:rFonts w:ascii="Times New Roman" w:hAnsi="Times New Roman" w:cs="Times New Roman"/>
          <w:sz w:val="24"/>
          <w:szCs w:val="24"/>
        </w:rPr>
        <w:fldChar w:fldCharType="separate"/>
      </w:r>
      <w:r w:rsidRPr="003273CC">
        <w:rPr>
          <w:rFonts w:ascii="Times New Roman" w:hAnsi="Times New Roman" w:cs="Times New Roman"/>
          <w:sz w:val="24"/>
          <w:szCs w:val="24"/>
        </w:rPr>
        <w:t>(Fally, 2015)</w:t>
      </w:r>
      <w:r w:rsidRPr="003273CC">
        <w:rPr>
          <w:rFonts w:ascii="Times New Roman" w:hAnsi="Times New Roman" w:cs="Times New Roman"/>
          <w:sz w:val="24"/>
          <w:szCs w:val="24"/>
        </w:rPr>
        <w:fldChar w:fldCharType="end"/>
      </w:r>
      <w:r w:rsidRPr="003273CC">
        <w:rPr>
          <w:rFonts w:ascii="Times New Roman" w:hAnsi="Times New Roman" w:cs="Times New Roman"/>
          <w:sz w:val="24"/>
          <w:szCs w:val="24"/>
        </w:rPr>
        <w:t xml:space="preserve"> . Thirdly , it solves the </w:t>
      </w:r>
      <w:r w:rsidRPr="003273CC">
        <w:rPr>
          <w:rFonts w:asciiTheme="majorBidi" w:hAnsiTheme="majorBidi" w:cs="Times New Roman"/>
          <w:sz w:val="24"/>
          <w:szCs w:val="24"/>
        </w:rPr>
        <w:t xml:space="preserve">Jensen’s in- equality issues and takes care of additive problem of difference in large and small countries fitted trade flow </w:t>
      </w:r>
      <w:r w:rsidRPr="003273CC">
        <w:rPr>
          <w:rFonts w:asciiTheme="majorBidi" w:hAnsiTheme="majorBidi" w:cs="Times New Roman"/>
          <w:sz w:val="24"/>
          <w:szCs w:val="24"/>
        </w:rPr>
        <w:fldChar w:fldCharType="begin" w:fldLock="1"/>
      </w:r>
      <w:r w:rsidR="00EE4776">
        <w:rPr>
          <w:rFonts w:asciiTheme="majorBidi" w:hAnsiTheme="majorBidi" w:cs="Times New Roman"/>
          <w:sz w:val="24"/>
          <w:szCs w:val="24"/>
        </w:rPr>
        <w:instrText>ADDIN CSL_CITATION {"citationItems":[{"id":"ITEM-1","itemData":{"ISSN":"0022-1996","author":[{"dropping-particle":"","family":"Fally","given":"Thibault","non-dropping-particle":"","parse-names":false,"suffix":""}],"container-title":"Journal of International Economics","id":"ITEM-1","issue":"1","issued":{"date-parts":[["2015"]]},"page":"76-85","publisher":"Elsevier","title":"Structural gravity and fixed effects","type":"article-journal","volume":"97"},"uris":["http://www.mendeley.com/documents/?uuid=24bb3856-af59-4db5-a3f6-0614afd69e83"]},{"id":"ITEM-2","itemData":{"ISSN":"1350-4851","author":[{"dropping-particle":"","family":"Arvis","given":"Jean-Francois","non-dropping-particle":"","parse-names":false,"suffix":""},{"dropping-particle":"","family":"Shepherd","given":"Ben","non-dropping-particle":"","parse-names":false,"suffix":""}],"container-title":"Applied Economics Letters","id":"ITEM-2","issue":"6","issued":{"date-parts":[["2011"]]},"page":"515-519","publisher":"Taylor &amp; Francis","title":"The Poisson quasi-maximum likelihood estimator: a solution to the ‘adding up’problem in gravity models","type":"article-journal","volume":"20"},"uris":["http://www.mendeley.com/documents/?uuid=00a8b360-b77b-4485-91ff-d09c54bf4978"]}],"mendeley":{"formattedCitation":"(Arvis &amp; Shepherd, 2011; Fally, 2015)","plainTextFormattedCitation":"(Arvis &amp; Shepherd, 2011; Fally, 2015)","previouslyFormattedCitation":"(Arvis &amp; Shepherd, 2011; Fally, 2015)"},"properties":{"noteIndex":0},"schema":"https://github.com/citation-style-language/schema/raw/master/csl-citation.json"}</w:instrText>
      </w:r>
      <w:r w:rsidRPr="003273CC">
        <w:rPr>
          <w:rFonts w:asciiTheme="majorBidi" w:hAnsiTheme="majorBidi" w:cs="Times New Roman"/>
          <w:sz w:val="24"/>
          <w:szCs w:val="24"/>
        </w:rPr>
        <w:fldChar w:fldCharType="separate"/>
      </w:r>
      <w:r w:rsidRPr="003273CC">
        <w:rPr>
          <w:rFonts w:asciiTheme="majorBidi" w:hAnsiTheme="majorBidi" w:cs="Times New Roman"/>
          <w:sz w:val="24"/>
          <w:szCs w:val="24"/>
        </w:rPr>
        <w:t xml:space="preserve">(Arvis &amp; Shepherd, 2011; </w:t>
      </w:r>
      <w:r w:rsidRPr="003273CC">
        <w:rPr>
          <w:rFonts w:asciiTheme="majorBidi" w:hAnsiTheme="majorBidi" w:cs="Times New Roman"/>
          <w:sz w:val="24"/>
          <w:szCs w:val="24"/>
        </w:rPr>
        <w:lastRenderedPageBreak/>
        <w:t>Fally, 2015)</w:t>
      </w:r>
      <w:r w:rsidRPr="003273CC">
        <w:rPr>
          <w:rFonts w:asciiTheme="majorBidi" w:hAnsiTheme="majorBidi" w:cs="Times New Roman"/>
          <w:sz w:val="24"/>
          <w:szCs w:val="24"/>
        </w:rPr>
        <w:fldChar w:fldCharType="end"/>
      </w:r>
      <w:r w:rsidRPr="003273CC">
        <w:rPr>
          <w:rFonts w:asciiTheme="majorBidi" w:hAnsiTheme="majorBidi" w:cs="Times New Roman"/>
          <w:sz w:val="24"/>
          <w:szCs w:val="24"/>
        </w:rPr>
        <w:t xml:space="preserve"> and fourthly, the coefficient obtained from </w:t>
      </w:r>
      <w:r w:rsidRPr="003273CC">
        <w:rPr>
          <w:rFonts w:ascii="Times New Roman" w:hAnsi="Times New Roman" w:cs="Times New Roman"/>
          <w:sz w:val="24"/>
          <w:szCs w:val="24"/>
        </w:rPr>
        <w:t>PPML</w:t>
      </w:r>
      <w:r w:rsidRPr="003273CC">
        <w:rPr>
          <w:rFonts w:asciiTheme="majorBidi" w:hAnsiTheme="majorBidi" w:cs="Times New Roman"/>
          <w:sz w:val="24"/>
          <w:szCs w:val="24"/>
        </w:rPr>
        <w:t xml:space="preserve"> is straight forward to interpret just as OLS interpretation.</w:t>
      </w:r>
    </w:p>
    <w:p w:rsidR="00997C1A" w:rsidRPr="008A24A2" w:rsidRDefault="00843058" w:rsidP="008A24A2">
      <w:pPr>
        <w:pStyle w:val="Heading2"/>
        <w:spacing w:after="120"/>
        <w:rPr>
          <w:rFonts w:asciiTheme="majorBidi" w:hAnsiTheme="majorBidi"/>
          <w:b/>
          <w:bCs/>
          <w:i/>
          <w:iCs/>
          <w:sz w:val="24"/>
          <w:szCs w:val="24"/>
        </w:rPr>
      </w:pPr>
      <w:bookmarkStart w:id="9" w:name="_Toc516749404"/>
      <w:r>
        <w:rPr>
          <w:rFonts w:asciiTheme="majorBidi" w:hAnsiTheme="majorBidi"/>
          <w:b/>
          <w:bCs/>
          <w:i/>
          <w:iCs/>
          <w:sz w:val="24"/>
          <w:szCs w:val="24"/>
        </w:rPr>
        <w:t>VI</w:t>
      </w:r>
      <w:r>
        <w:rPr>
          <w:rFonts w:asciiTheme="majorBidi" w:hAnsiTheme="majorBidi"/>
          <w:b/>
          <w:bCs/>
          <w:i/>
          <w:iCs/>
          <w:sz w:val="24"/>
          <w:szCs w:val="24"/>
        </w:rPr>
        <w:tab/>
      </w:r>
      <w:r w:rsidR="00B33B41" w:rsidRPr="00843058">
        <w:rPr>
          <w:rFonts w:asciiTheme="majorBidi" w:hAnsiTheme="majorBidi"/>
          <w:b/>
          <w:bCs/>
          <w:i/>
          <w:iCs/>
          <w:sz w:val="24"/>
          <w:szCs w:val="24"/>
        </w:rPr>
        <w:t>Data and Data Sources</w:t>
      </w:r>
      <w:bookmarkEnd w:id="9"/>
    </w:p>
    <w:p w:rsidR="00B33B41" w:rsidRPr="00B2592D" w:rsidRDefault="00B33B41" w:rsidP="00B33B41">
      <w:pPr>
        <w:spacing w:after="0" w:line="360" w:lineRule="auto"/>
        <w:ind w:right="360"/>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A Panel data covering 36 exporting countries and 64 importing countries </w:t>
      </w:r>
      <w:r>
        <w:rPr>
          <w:rFonts w:ascii="Times New Roman" w:hAnsi="Times New Roman" w:cs="Times New Roman"/>
          <w:color w:val="000000" w:themeColor="text1"/>
          <w:sz w:val="24"/>
          <w:szCs w:val="24"/>
        </w:rPr>
        <w:t>[</w:t>
      </w:r>
      <w:r w:rsidR="00D8057B">
        <w:rPr>
          <w:rFonts w:ascii="Times New Roman" w:hAnsi="Times New Roman" w:cs="Times New Roman"/>
          <w:color w:val="000000" w:themeColor="text1"/>
          <w:sz w:val="24"/>
          <w:szCs w:val="24"/>
        </w:rPr>
        <w:t>Appendix 1</w:t>
      </w:r>
      <w:r>
        <w:rPr>
          <w:rFonts w:ascii="Times New Roman" w:hAnsi="Times New Roman" w:cs="Times New Roman"/>
          <w:color w:val="000000" w:themeColor="text1"/>
          <w:sz w:val="24"/>
          <w:szCs w:val="24"/>
        </w:rPr>
        <w:t>]</w:t>
      </w:r>
      <w:r>
        <w:rPr>
          <w:rFonts w:ascii="Times New Roman" w:hAnsi="Times New Roman" w:cs="Times New Roman"/>
          <w:sz w:val="24"/>
          <w:szCs w:val="24"/>
        </w:rPr>
        <w:t xml:space="preserve"> were obtained for period 2006 to 2015. The data covered IORA, GCC, GAFTA and top trading partners of Oman and provided 22,680 observations used in the analysis</w:t>
      </w:r>
      <w:r>
        <w:rPr>
          <w:rFonts w:ascii="Times New Roman" w:hAnsi="Times New Roman" w:cs="Times New Roman"/>
          <w:bCs/>
          <w:color w:val="000000" w:themeColor="text1"/>
          <w:sz w:val="24"/>
          <w:szCs w:val="24"/>
        </w:rPr>
        <w:t>.</w:t>
      </w:r>
    </w:p>
    <w:p w:rsidR="00B33B41" w:rsidRPr="00B175BB" w:rsidRDefault="00B33B41" w:rsidP="005323E8">
      <w:pPr>
        <w:spacing w:after="160" w:line="360" w:lineRule="auto"/>
        <w:ind w:right="360"/>
        <w:jc w:val="both"/>
        <w:rPr>
          <w:rFonts w:ascii="Times New Roman" w:hAnsi="Times New Roman" w:cs="Times New Roman"/>
          <w:sz w:val="24"/>
          <w:szCs w:val="24"/>
        </w:rPr>
      </w:pPr>
      <w:r w:rsidRPr="00CE5593">
        <w:rPr>
          <w:rFonts w:ascii="Times New Roman" w:hAnsi="Times New Roman" w:cs="Times New Roman"/>
          <w:sz w:val="24"/>
          <w:szCs w:val="24"/>
        </w:rPr>
        <w:t xml:space="preserve">Data on GDP and population </w:t>
      </w:r>
      <w:r>
        <w:rPr>
          <w:rFonts w:ascii="Times New Roman" w:hAnsi="Times New Roman" w:cs="Times New Roman"/>
          <w:sz w:val="24"/>
          <w:szCs w:val="24"/>
        </w:rPr>
        <w:t>were</w:t>
      </w:r>
      <w:r w:rsidRPr="00CE5593">
        <w:rPr>
          <w:rFonts w:ascii="Times New Roman" w:hAnsi="Times New Roman" w:cs="Times New Roman"/>
          <w:sz w:val="24"/>
          <w:szCs w:val="24"/>
        </w:rPr>
        <w:t xml:space="preserve"> obtained from World Bank data base</w:t>
      </w:r>
      <w:r w:rsidRPr="002A2D98">
        <w:rPr>
          <w:rStyle w:val="FootnoteReference"/>
          <w:rFonts w:cs="Arial"/>
        </w:rPr>
        <w:footnoteReference w:id="12"/>
      </w:r>
      <w:r>
        <w:rPr>
          <w:rFonts w:ascii="Times New Roman" w:hAnsi="Times New Roman" w:cs="Times New Roman"/>
          <w:sz w:val="24"/>
          <w:szCs w:val="24"/>
        </w:rPr>
        <w:t xml:space="preserve">. </w:t>
      </w:r>
      <w:r w:rsidRPr="00CE5593">
        <w:rPr>
          <w:rFonts w:ascii="Times New Roman" w:hAnsi="Times New Roman" w:cs="Times New Roman"/>
          <w:sz w:val="24"/>
          <w:szCs w:val="24"/>
        </w:rPr>
        <w:t xml:space="preserve">Information on aggregated bilateral trade between countries </w:t>
      </w:r>
      <w:r>
        <w:rPr>
          <w:rFonts w:ascii="Times New Roman" w:hAnsi="Times New Roman" w:cs="Times New Roman"/>
          <w:sz w:val="24"/>
          <w:szCs w:val="24"/>
        </w:rPr>
        <w:t xml:space="preserve">are </w:t>
      </w:r>
      <w:r w:rsidRPr="00CE5593">
        <w:rPr>
          <w:rFonts w:ascii="Times New Roman" w:hAnsi="Times New Roman" w:cs="Times New Roman"/>
          <w:sz w:val="24"/>
          <w:szCs w:val="24"/>
        </w:rPr>
        <w:t>extracted from International Trade Centre (ITC)</w:t>
      </w:r>
      <w:r w:rsidRPr="002A2D98">
        <w:rPr>
          <w:rStyle w:val="FootnoteReference"/>
          <w:rFonts w:cs="Arial"/>
        </w:rPr>
        <w:footnoteReference w:id="13"/>
      </w:r>
      <w:r w:rsidRPr="00CE5593">
        <w:rPr>
          <w:rFonts w:ascii="Times New Roman" w:hAnsi="Times New Roman" w:cs="Times New Roman"/>
          <w:sz w:val="24"/>
          <w:szCs w:val="24"/>
        </w:rPr>
        <w:t xml:space="preserve"> trade map using the</w:t>
      </w:r>
      <w:r>
        <w:rPr>
          <w:rFonts w:ascii="Times New Roman" w:hAnsi="Times New Roman" w:cs="Times New Roman"/>
          <w:sz w:val="24"/>
          <w:szCs w:val="24"/>
        </w:rPr>
        <w:t xml:space="preserve"> 2-digit</w:t>
      </w:r>
      <w:r w:rsidRPr="00CE5593">
        <w:rPr>
          <w:rFonts w:ascii="Times New Roman" w:hAnsi="Times New Roman" w:cs="Times New Roman"/>
          <w:sz w:val="24"/>
          <w:szCs w:val="24"/>
        </w:rPr>
        <w:t xml:space="preserve"> Harmonized System</w:t>
      </w:r>
      <w:r>
        <w:rPr>
          <w:rFonts w:ascii="Times New Roman" w:hAnsi="Times New Roman" w:cs="Times New Roman"/>
          <w:sz w:val="24"/>
          <w:szCs w:val="24"/>
        </w:rPr>
        <w:t xml:space="preserve"> </w:t>
      </w:r>
      <w:r w:rsidRPr="00CE5593">
        <w:rPr>
          <w:rFonts w:ascii="Times New Roman" w:hAnsi="Times New Roman" w:cs="Times New Roman"/>
          <w:sz w:val="24"/>
          <w:szCs w:val="24"/>
        </w:rPr>
        <w:t>(HS)</w:t>
      </w:r>
      <w:r w:rsidRPr="002A2D98">
        <w:rPr>
          <w:rStyle w:val="FootnoteReference"/>
          <w:rFonts w:cs="Arial"/>
        </w:rPr>
        <w:footnoteReference w:id="14"/>
      </w:r>
      <w:r w:rsidRPr="00CE5593">
        <w:rPr>
          <w:rFonts w:ascii="Times New Roman" w:hAnsi="Times New Roman" w:cs="Times New Roman"/>
          <w:sz w:val="24"/>
          <w:szCs w:val="24"/>
        </w:rPr>
        <w:t xml:space="preserve">. </w:t>
      </w:r>
      <w:r>
        <w:rPr>
          <w:rFonts w:ascii="Times New Roman" w:hAnsi="Times New Roman" w:cs="Times New Roman"/>
          <w:sz w:val="24"/>
          <w:szCs w:val="24"/>
        </w:rPr>
        <w:t>I</w:t>
      </w:r>
      <w:r w:rsidRPr="00CE5593">
        <w:rPr>
          <w:rFonts w:ascii="Times New Roman" w:hAnsi="Times New Roman" w:cs="Times New Roman"/>
          <w:sz w:val="24"/>
          <w:szCs w:val="24"/>
        </w:rPr>
        <w:t>nformation on bilateral geographical information (distance, common language, common border) w</w:t>
      </w:r>
      <w:r>
        <w:rPr>
          <w:rFonts w:ascii="Times New Roman" w:hAnsi="Times New Roman" w:cs="Times New Roman"/>
          <w:sz w:val="24"/>
          <w:szCs w:val="24"/>
        </w:rPr>
        <w:t>as</w:t>
      </w:r>
      <w:r w:rsidRPr="00CE5593">
        <w:rPr>
          <w:rFonts w:ascii="Times New Roman" w:hAnsi="Times New Roman" w:cs="Times New Roman"/>
          <w:sz w:val="24"/>
          <w:szCs w:val="24"/>
        </w:rPr>
        <w:t xml:space="preserve"> obtained from Centre d’etudes Prospectives et d’informations international</w:t>
      </w:r>
      <w:r>
        <w:rPr>
          <w:rFonts w:ascii="Times New Roman" w:hAnsi="Times New Roman" w:cs="Times New Roman"/>
          <w:sz w:val="24"/>
          <w:szCs w:val="24"/>
        </w:rPr>
        <w:t>e</w:t>
      </w:r>
      <w:r w:rsidRPr="00CE5593">
        <w:rPr>
          <w:rFonts w:ascii="Times New Roman" w:hAnsi="Times New Roman" w:cs="Times New Roman"/>
          <w:sz w:val="24"/>
          <w:szCs w:val="24"/>
        </w:rPr>
        <w:t>s (CEPII)</w:t>
      </w:r>
      <w:r w:rsidRPr="002A2D98">
        <w:rPr>
          <w:rStyle w:val="FootnoteReference"/>
          <w:rFonts w:cs="Arial"/>
        </w:rPr>
        <w:footnoteReference w:id="15"/>
      </w:r>
      <w:r w:rsidRPr="00CE5593">
        <w:rPr>
          <w:rFonts w:ascii="Times New Roman" w:hAnsi="Times New Roman" w:cs="Times New Roman"/>
          <w:sz w:val="24"/>
          <w:szCs w:val="24"/>
        </w:rPr>
        <w:t xml:space="preserve"> data base</w:t>
      </w:r>
      <w:r>
        <w:rPr>
          <w:rFonts w:ascii="Times New Roman" w:hAnsi="Times New Roman" w:cs="Times New Roman"/>
          <w:sz w:val="24"/>
          <w:szCs w:val="24"/>
        </w:rPr>
        <w:t xml:space="preserve"> which was  developed by</w:t>
      </w:r>
      <w:r w:rsidRPr="00CE5593">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EE4776">
        <w:rPr>
          <w:rFonts w:ascii="Times New Roman" w:hAnsi="Times New Roman" w:cs="Times New Roman"/>
          <w:sz w:val="24"/>
          <w:szCs w:val="24"/>
        </w:rPr>
        <w:instrText>ADDIN CSL_CITATION {"citationItems":[{"id":"ITEM-1","itemData":{"DOI":"10.2139/ssrn.1994531","ISBN":"2007510134049","ISSN":"1556-5068","PMID":"17411427","abstract":"GeoDist makes available the exhaustive set of gravity variables developed in Mayer and Zignago (2005) to analyze market access difficulties in global and regional trade flows. GeoDist provides useful data online (http://www.cepii.fr/anglaisgraph/bdd/distances.htm) for empirical economic research including geographical elements and variables. A common use of these files is the estimation by trade economists of gravity equations describing bilateral patterns of trade flows. Covariates such as bilateral distance, contiguity, or colonial historical links have also been used in other fields than international trade: for the study of bilateral flows of foreign direct investment for instance, but also by researchers interested in explaining migration patterns, international flows of tourists, of telephone traffic, etc. Even outside economics, several researchers in different social sciences use these types of variables. Political scientists, for instance, use distance and contiguity (among other determinants) to explain why some pairs of countries have a higher probability than others of going to war. Other datasets have been proposed in the literature and provide geographical and distance data, notably those developed by Jon Haveman, Vernon Henderson and Andrew Rose. We try to improve upon the existing sets of variables in terms of geographical coverage, measurement and the number of variables provided. Our first dataset (geo_cepii), incorporates country-specific geographical variables for 225 countries in the world, including the geographical coordinates of their capital cities, the languages spoken in the country under different definitions, a variable indicating whether the country is landlocked, and their colonial links. The second dataset (dist_cepii) is dyadic, in the sense that it includes variables valid for pairs of countries. Distance is the most common example of such a variable, and the file includes different measures of bilateral distances (in kilometers) available for most countries across the world. The main contribution of GeoDist is to compute internal (or intra-national) and international bilateral distances in a totally consistent way. How define internal distances of countries? How make those constructed internal distances consistent with ‘traditional’ international distances calculations? The latter question is in fact crucial for obtaining a correct estimate of trade impediments. Any overestimate of the internal / external distance rati…","author":[{"dropping-particle":"","family":"Mayer","given":"Thierry","non-dropping-particle":"","parse-names":false,"suffix":""},{"dropping-particle":"","family":"Zignago","given":"Soledad","non-dropping-particle":"","parse-names":false,"suffix":""}],"container-title":"Notes on CEPII’s distances measures: The Ge oDist database","id":"ITEM-1","issued":{"date-parts":[["2011"]]},"number":"2011-25","number-of-pages":"pp. 1-12","title":"Notes on CEPII's Distance Measures: the GeoDist Database","type":"report"},"uris":["http://www.mendeley.com/documents/?uuid=fffd081b-f3f2-4845-b1eb-b8ac9dc26843"]}],"mendeley":{"formattedCitation":"(Mayer &amp; Zignago, 2011)","manualFormatting":"Mayer &amp; Zignago (2011)","plainTextFormattedCitation":"(Mayer &amp; Zignago, 2011)","previouslyFormattedCitation":"(Mayer &amp; Zignago, 2011)"},"properties":{"noteIndex":0},"schema":"https://github.com/citation-style-language/schema/raw/master/csl-citation.json"}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Mayer &amp; Zignago</w:t>
      </w:r>
      <w:r w:rsidRPr="00CE5593">
        <w:rPr>
          <w:rFonts w:ascii="Times New Roman" w:hAnsi="Times New Roman" w:cs="Times New Roman"/>
          <w:sz w:val="24"/>
          <w:szCs w:val="24"/>
        </w:rPr>
        <w:t xml:space="preserve"> </w:t>
      </w:r>
      <w:r>
        <w:rPr>
          <w:rFonts w:ascii="Times New Roman" w:hAnsi="Times New Roman" w:cs="Times New Roman"/>
          <w:sz w:val="24"/>
          <w:szCs w:val="24"/>
        </w:rPr>
        <w:t>(</w:t>
      </w:r>
      <w:r w:rsidRPr="00CE5593">
        <w:rPr>
          <w:rFonts w:ascii="Times New Roman" w:hAnsi="Times New Roman" w:cs="Times New Roman"/>
          <w:sz w:val="24"/>
          <w:szCs w:val="24"/>
        </w:rPr>
        <w:t>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596BE6">
        <w:rPr>
          <w:rFonts w:ascii="Times New Roman" w:hAnsi="Times New Roman" w:cs="Times New Roman"/>
          <w:sz w:val="24"/>
          <w:szCs w:val="24"/>
        </w:rPr>
        <w:t>Finally</w:t>
      </w:r>
      <w:r w:rsidRPr="00CE5593">
        <w:rPr>
          <w:rFonts w:ascii="Times New Roman" w:hAnsi="Times New Roman" w:cs="Times New Roman"/>
          <w:sz w:val="24"/>
          <w:szCs w:val="24"/>
        </w:rPr>
        <w:t>,</w:t>
      </w:r>
      <w:r>
        <w:rPr>
          <w:rFonts w:ascii="Times New Roman" w:hAnsi="Times New Roman" w:cs="Times New Roman"/>
          <w:sz w:val="24"/>
          <w:szCs w:val="24"/>
        </w:rPr>
        <w:t xml:space="preserve"> </w:t>
      </w:r>
      <w:r w:rsidRPr="00CE5593">
        <w:rPr>
          <w:rFonts w:ascii="Times New Roman" w:hAnsi="Times New Roman" w:cs="Times New Roman"/>
          <w:sz w:val="24"/>
          <w:szCs w:val="24"/>
        </w:rPr>
        <w:t xml:space="preserve">information on RTAs </w:t>
      </w:r>
      <w:r>
        <w:rPr>
          <w:rFonts w:ascii="Times New Roman" w:hAnsi="Times New Roman" w:cs="Times New Roman"/>
          <w:sz w:val="24"/>
          <w:szCs w:val="24"/>
        </w:rPr>
        <w:t>were</w:t>
      </w:r>
      <w:r w:rsidRPr="00CE5593">
        <w:rPr>
          <w:rFonts w:ascii="Times New Roman" w:hAnsi="Times New Roman" w:cs="Times New Roman"/>
          <w:sz w:val="24"/>
          <w:szCs w:val="24"/>
        </w:rPr>
        <w:t xml:space="preserve"> obtained from World Trade Organization (WTO) using Regional Trade Agreements Information System (RTA-IS) </w:t>
      </w:r>
      <w:r>
        <w:rPr>
          <w:rFonts w:ascii="Times New Roman" w:hAnsi="Times New Roman" w:cs="Times New Roman"/>
          <w:sz w:val="24"/>
          <w:szCs w:val="24"/>
        </w:rPr>
        <w:t>Portal</w:t>
      </w:r>
      <w:r w:rsidRPr="002A2D98">
        <w:rPr>
          <w:rStyle w:val="FootnoteReference"/>
          <w:rFonts w:cs="Arial"/>
        </w:rPr>
        <w:footnoteReference w:id="16"/>
      </w:r>
      <w:r>
        <w:rPr>
          <w:rFonts w:ascii="Times New Roman" w:hAnsi="Times New Roman" w:cs="Times New Roman"/>
          <w:sz w:val="24"/>
          <w:szCs w:val="24"/>
        </w:rPr>
        <w:t xml:space="preserve">. </w:t>
      </w:r>
    </w:p>
    <w:p w:rsidR="00B33B41" w:rsidRPr="00843058" w:rsidRDefault="00843058" w:rsidP="005323E8">
      <w:pPr>
        <w:pStyle w:val="Heading1"/>
        <w:spacing w:before="120" w:after="120"/>
        <w:rPr>
          <w:rFonts w:asciiTheme="majorBidi" w:hAnsiTheme="majorBidi"/>
          <w:b/>
          <w:bCs/>
          <w:i/>
          <w:iCs/>
          <w:sz w:val="24"/>
          <w:szCs w:val="24"/>
        </w:rPr>
      </w:pPr>
      <w:bookmarkStart w:id="10" w:name="_Toc516749406"/>
      <w:r>
        <w:rPr>
          <w:rFonts w:asciiTheme="majorBidi" w:hAnsiTheme="majorBidi"/>
          <w:b/>
          <w:bCs/>
          <w:i/>
          <w:iCs/>
          <w:sz w:val="24"/>
          <w:szCs w:val="24"/>
        </w:rPr>
        <w:t>VII</w:t>
      </w:r>
      <w:r>
        <w:rPr>
          <w:rFonts w:asciiTheme="majorBidi" w:hAnsiTheme="majorBidi"/>
          <w:b/>
          <w:bCs/>
          <w:i/>
          <w:iCs/>
          <w:sz w:val="24"/>
          <w:szCs w:val="24"/>
        </w:rPr>
        <w:tab/>
      </w:r>
      <w:r w:rsidR="00B33B41" w:rsidRPr="00843058">
        <w:rPr>
          <w:rFonts w:asciiTheme="majorBidi" w:hAnsiTheme="majorBidi"/>
          <w:b/>
          <w:bCs/>
          <w:i/>
          <w:iCs/>
          <w:sz w:val="24"/>
          <w:szCs w:val="24"/>
        </w:rPr>
        <w:t>RESULTS AND DISCUSSION</w:t>
      </w:r>
      <w:bookmarkEnd w:id="10"/>
    </w:p>
    <w:p w:rsidR="0053681D" w:rsidRDefault="00B33B41" w:rsidP="0053681D">
      <w:pPr>
        <w:spacing w:after="0" w:line="360" w:lineRule="auto"/>
        <w:ind w:right="360"/>
        <w:jc w:val="both"/>
        <w:rPr>
          <w:rFonts w:ascii="Times New Roman" w:hAnsi="Times New Roman" w:cs="Times New Roman"/>
          <w:bCs/>
          <w:sz w:val="24"/>
          <w:szCs w:val="24"/>
        </w:rPr>
      </w:pPr>
      <w:r>
        <w:rPr>
          <w:rFonts w:ascii="Times New Roman" w:hAnsi="Times New Roman" w:cs="Times New Roman"/>
          <w:bCs/>
          <w:sz w:val="24"/>
          <w:szCs w:val="24"/>
        </w:rPr>
        <w:t>The results obtained from the PPML and the PPMLFE are discussed</w:t>
      </w:r>
      <w:r w:rsidR="00B2497C">
        <w:rPr>
          <w:rFonts w:ascii="Times New Roman" w:hAnsi="Times New Roman" w:cs="Times New Roman"/>
          <w:bCs/>
          <w:sz w:val="24"/>
          <w:szCs w:val="24"/>
        </w:rPr>
        <w:t xml:space="preserve"> below</w:t>
      </w:r>
      <w:r>
        <w:rPr>
          <w:rFonts w:ascii="Times New Roman" w:hAnsi="Times New Roman" w:cs="Times New Roman"/>
          <w:bCs/>
          <w:sz w:val="24"/>
          <w:szCs w:val="24"/>
        </w:rPr>
        <w:t>.</w:t>
      </w:r>
      <w:r w:rsidR="00CB2F9D">
        <w:rPr>
          <w:rFonts w:ascii="Times New Roman" w:hAnsi="Times New Roman" w:cs="Times New Roman"/>
          <w:bCs/>
          <w:sz w:val="24"/>
          <w:szCs w:val="24"/>
        </w:rPr>
        <w:t xml:space="preserve"> </w:t>
      </w:r>
      <w:r>
        <w:rPr>
          <w:rFonts w:ascii="Times New Roman" w:hAnsi="Times New Roman" w:cs="Times New Roman"/>
          <w:bCs/>
          <w:sz w:val="24"/>
          <w:szCs w:val="24"/>
        </w:rPr>
        <w:t>As shown in Table [</w:t>
      </w:r>
      <w:r w:rsidR="00BC4AA0">
        <w:rPr>
          <w:rFonts w:ascii="Times New Roman" w:hAnsi="Times New Roman" w:cs="Times New Roman"/>
          <w:bCs/>
          <w:sz w:val="24"/>
          <w:szCs w:val="24"/>
        </w:rPr>
        <w:t>2</w:t>
      </w:r>
      <w:r>
        <w:rPr>
          <w:rFonts w:ascii="Times New Roman" w:hAnsi="Times New Roman" w:cs="Times New Roman"/>
          <w:bCs/>
          <w:sz w:val="24"/>
          <w:szCs w:val="24"/>
        </w:rPr>
        <w:t>], most of the standard gravity variables have the expected signs (except importer population and border)</w:t>
      </w:r>
      <w:r w:rsidRPr="002A2D98">
        <w:rPr>
          <w:rStyle w:val="FootnoteReference"/>
          <w:rFonts w:cs="Arial"/>
        </w:rPr>
        <w:footnoteReference w:id="17"/>
      </w:r>
      <w:r w:rsidR="00CB2F9D">
        <w:rPr>
          <w:rFonts w:ascii="Times New Roman" w:hAnsi="Times New Roman" w:cs="Times New Roman"/>
          <w:bCs/>
          <w:sz w:val="24"/>
          <w:szCs w:val="24"/>
        </w:rPr>
        <w:t xml:space="preserve"> </w:t>
      </w:r>
      <w:r>
        <w:rPr>
          <w:rFonts w:ascii="Times New Roman" w:hAnsi="Times New Roman" w:cs="Times New Roman"/>
          <w:bCs/>
          <w:sz w:val="24"/>
          <w:szCs w:val="24"/>
        </w:rPr>
        <w:t>and are statistically significant</w:t>
      </w:r>
      <w:r w:rsidR="00B2497C">
        <w:rPr>
          <w:rFonts w:ascii="Times New Roman" w:hAnsi="Times New Roman" w:cs="Times New Roman"/>
          <w:bCs/>
          <w:sz w:val="24"/>
          <w:szCs w:val="24"/>
        </w:rPr>
        <w:t>.</w:t>
      </w:r>
      <w:r>
        <w:rPr>
          <w:rFonts w:ascii="Times New Roman" w:hAnsi="Times New Roman" w:cs="Times New Roman"/>
          <w:bCs/>
          <w:sz w:val="24"/>
          <w:szCs w:val="24"/>
        </w:rPr>
        <w:t xml:space="preserve"> The R-Square is of reasonable size and increased significantly when fixed effect model is used in line with the literature.</w:t>
      </w:r>
      <w:r w:rsidR="0053681D" w:rsidRPr="0053681D">
        <w:rPr>
          <w:rFonts w:ascii="Times New Roman" w:hAnsi="Times New Roman" w:cs="Times New Roman"/>
          <w:bCs/>
          <w:sz w:val="24"/>
          <w:szCs w:val="24"/>
        </w:rPr>
        <w:t xml:space="preserve"> </w:t>
      </w:r>
      <w:r w:rsidR="0053681D">
        <w:rPr>
          <w:rFonts w:ascii="Times New Roman" w:hAnsi="Times New Roman" w:cs="Times New Roman"/>
          <w:bCs/>
          <w:sz w:val="24"/>
          <w:szCs w:val="24"/>
        </w:rPr>
        <w:t xml:space="preserve">The coefficient of GDP for both the exporter and the importer is positive indicating that level of export increases with the level of income. The GDP coefficient of the importer is higher than that of the exporter indicating that the importer </w:t>
      </w:r>
      <w:r w:rsidR="0053681D" w:rsidRPr="009E5FC0">
        <w:rPr>
          <w:rFonts w:ascii="Times New Roman" w:hAnsi="Times New Roman" w:cs="Times New Roman"/>
          <w:bCs/>
          <w:sz w:val="24"/>
          <w:szCs w:val="24"/>
        </w:rPr>
        <w:t xml:space="preserve">economic size has bigger influence </w:t>
      </w:r>
      <w:r w:rsidR="0053681D">
        <w:rPr>
          <w:rFonts w:ascii="Times New Roman" w:hAnsi="Times New Roman" w:cs="Times New Roman"/>
          <w:bCs/>
          <w:sz w:val="24"/>
          <w:szCs w:val="24"/>
        </w:rPr>
        <w:t xml:space="preserve">on bilateral trade </w:t>
      </w:r>
      <w:r w:rsidR="0053681D" w:rsidRPr="009E5FC0">
        <w:rPr>
          <w:rFonts w:ascii="Times New Roman" w:hAnsi="Times New Roman" w:cs="Times New Roman"/>
          <w:bCs/>
          <w:sz w:val="24"/>
          <w:szCs w:val="24"/>
        </w:rPr>
        <w:t xml:space="preserve">than that of </w:t>
      </w:r>
      <w:r w:rsidR="0053681D">
        <w:rPr>
          <w:rFonts w:ascii="Times New Roman" w:hAnsi="Times New Roman" w:cs="Times New Roman"/>
          <w:bCs/>
          <w:sz w:val="24"/>
          <w:szCs w:val="24"/>
        </w:rPr>
        <w:t xml:space="preserve">the </w:t>
      </w:r>
      <w:r w:rsidR="0053681D" w:rsidRPr="009E5FC0">
        <w:rPr>
          <w:rFonts w:ascii="Times New Roman" w:hAnsi="Times New Roman" w:cs="Times New Roman"/>
          <w:bCs/>
          <w:sz w:val="24"/>
          <w:szCs w:val="24"/>
        </w:rPr>
        <w:t>exporter</w:t>
      </w:r>
      <w:r w:rsidR="0053681D">
        <w:rPr>
          <w:rFonts w:ascii="Times New Roman" w:hAnsi="Times New Roman" w:cs="Times New Roman"/>
          <w:bCs/>
          <w:sz w:val="24"/>
          <w:szCs w:val="24"/>
        </w:rPr>
        <w:t xml:space="preserve">. The GDP coefficients are less than unity indicating that export increases </w:t>
      </w:r>
      <w:r w:rsidR="0053681D">
        <w:rPr>
          <w:rFonts w:ascii="Times New Roman" w:hAnsi="Times New Roman" w:cs="Times New Roman"/>
          <w:bCs/>
          <w:sz w:val="24"/>
          <w:szCs w:val="24"/>
        </w:rPr>
        <w:lastRenderedPageBreak/>
        <w:t>less proportionality with the level of income.</w:t>
      </w:r>
      <w:r w:rsidR="0053681D" w:rsidRPr="0053681D">
        <w:rPr>
          <w:rFonts w:ascii="Times New Roman" w:hAnsi="Times New Roman" w:cs="Times New Roman"/>
          <w:bCs/>
          <w:sz w:val="24"/>
          <w:szCs w:val="24"/>
        </w:rPr>
        <w:t xml:space="preserve"> </w:t>
      </w:r>
      <w:r w:rsidR="0053681D">
        <w:rPr>
          <w:rFonts w:ascii="Times New Roman" w:hAnsi="Times New Roman" w:cs="Times New Roman"/>
          <w:bCs/>
          <w:sz w:val="24"/>
          <w:szCs w:val="24"/>
        </w:rPr>
        <w:t xml:space="preserve">The population coefficients have a negative sign. This is not surprising as </w:t>
      </w:r>
      <w:r w:rsidR="0053681D">
        <w:rPr>
          <w:rFonts w:ascii="Times New Roman" w:hAnsi="Times New Roman" w:cs="Times New Roman"/>
          <w:sz w:val="23"/>
          <w:szCs w:val="23"/>
        </w:rPr>
        <w:t>Zarzoso and Lehmann (2003) argue</w:t>
      </w:r>
      <w:r w:rsidR="0053681D">
        <w:rPr>
          <w:rFonts w:ascii="Times New Roman" w:hAnsi="Times New Roman" w:cs="Times New Roman"/>
          <w:bCs/>
          <w:sz w:val="24"/>
          <w:szCs w:val="24"/>
        </w:rPr>
        <w:t xml:space="preserve"> that coefficients </w:t>
      </w:r>
      <w:r w:rsidR="0053681D" w:rsidRPr="00670087">
        <w:rPr>
          <w:rFonts w:ascii="Times New Roman" w:hAnsi="Times New Roman" w:cs="Times New Roman"/>
          <w:bCs/>
          <w:sz w:val="24"/>
          <w:szCs w:val="24"/>
        </w:rPr>
        <w:t>associated with the population may be positive or</w:t>
      </w:r>
      <w:r w:rsidR="0053681D">
        <w:rPr>
          <w:rFonts w:ascii="Times New Roman" w:hAnsi="Times New Roman" w:cs="Times New Roman"/>
          <w:bCs/>
          <w:sz w:val="24"/>
          <w:szCs w:val="24"/>
        </w:rPr>
        <w:t xml:space="preserve"> negative depending on whether the absorption effect (less exports with larger countries) dominates the economy of scale effect (big countries export more than small countries).</w:t>
      </w:r>
    </w:p>
    <w:p w:rsidR="005D727C" w:rsidRDefault="005D727C">
      <w:pPr>
        <w:rPr>
          <w:rFonts w:ascii="Times New Roman" w:hAnsi="Times New Roman" w:cs="Times New Roman"/>
          <w:bCs/>
          <w:sz w:val="24"/>
          <w:szCs w:val="24"/>
        </w:rPr>
      </w:pPr>
      <w:r>
        <w:rPr>
          <w:rFonts w:ascii="Times New Roman" w:hAnsi="Times New Roman" w:cs="Times New Roman"/>
          <w:bCs/>
          <w:sz w:val="24"/>
          <w:szCs w:val="24"/>
        </w:rPr>
        <w:br w:type="page"/>
      </w:r>
    </w:p>
    <w:p w:rsidR="00B558F3" w:rsidRDefault="00B558F3" w:rsidP="008A24A2">
      <w:pPr>
        <w:spacing w:after="0" w:line="360" w:lineRule="auto"/>
        <w:ind w:right="360"/>
        <w:jc w:val="both"/>
        <w:rPr>
          <w:rFonts w:ascii="Times New Roman" w:hAnsi="Times New Roman" w:cs="Times New Roman"/>
          <w:bCs/>
          <w:sz w:val="24"/>
          <w:szCs w:val="24"/>
        </w:rPr>
      </w:pPr>
    </w:p>
    <w:p w:rsidR="005D727C" w:rsidRPr="00F76E46" w:rsidRDefault="005D727C" w:rsidP="005D727C">
      <w:pPr>
        <w:pStyle w:val="Caption"/>
        <w:keepNext/>
        <w:ind w:left="720"/>
        <w:rPr>
          <w:rFonts w:asciiTheme="majorBidi" w:hAnsiTheme="majorBidi" w:cs="Times New Roman"/>
          <w:color w:val="000000" w:themeColor="text1"/>
          <w:sz w:val="20"/>
          <w:szCs w:val="20"/>
        </w:rPr>
      </w:pPr>
      <w:bookmarkStart w:id="11" w:name="_Toc516319599"/>
      <w:r w:rsidRPr="00F76E46">
        <w:rPr>
          <w:rFonts w:asciiTheme="majorBidi" w:hAnsiTheme="majorBidi" w:cs="Times New Roman"/>
          <w:color w:val="000000" w:themeColor="text1"/>
          <w:sz w:val="20"/>
          <w:szCs w:val="20"/>
        </w:rPr>
        <w:t xml:space="preserve">Table </w:t>
      </w:r>
      <w:r w:rsidRPr="00F76E46">
        <w:rPr>
          <w:rFonts w:asciiTheme="majorBidi" w:hAnsiTheme="majorBidi" w:cs="Times New Roman"/>
          <w:color w:val="000000" w:themeColor="text1"/>
          <w:sz w:val="20"/>
          <w:szCs w:val="20"/>
        </w:rPr>
        <w:fldChar w:fldCharType="begin"/>
      </w:r>
      <w:r w:rsidRPr="00F76E46">
        <w:rPr>
          <w:rFonts w:asciiTheme="majorBidi" w:hAnsiTheme="majorBidi" w:cs="Times New Roman"/>
          <w:color w:val="000000" w:themeColor="text1"/>
          <w:sz w:val="20"/>
          <w:szCs w:val="20"/>
        </w:rPr>
        <w:instrText xml:space="preserve"> SEQ Table \* ARABIC </w:instrText>
      </w:r>
      <w:r w:rsidRPr="00F76E46">
        <w:rPr>
          <w:rFonts w:asciiTheme="majorBidi" w:hAnsiTheme="majorBidi" w:cs="Times New Roman"/>
          <w:color w:val="000000" w:themeColor="text1"/>
          <w:sz w:val="20"/>
          <w:szCs w:val="20"/>
        </w:rPr>
        <w:fldChar w:fldCharType="separate"/>
      </w:r>
      <w:r>
        <w:rPr>
          <w:rFonts w:asciiTheme="majorBidi" w:hAnsiTheme="majorBidi" w:cs="Times New Roman"/>
          <w:noProof/>
          <w:color w:val="000000" w:themeColor="text1"/>
          <w:sz w:val="20"/>
          <w:szCs w:val="20"/>
        </w:rPr>
        <w:t>2</w:t>
      </w:r>
      <w:r w:rsidRPr="00F76E46">
        <w:rPr>
          <w:rFonts w:asciiTheme="majorBidi" w:hAnsiTheme="majorBidi" w:cs="Times New Roman"/>
          <w:color w:val="000000" w:themeColor="text1"/>
          <w:sz w:val="20"/>
          <w:szCs w:val="20"/>
        </w:rPr>
        <w:fldChar w:fldCharType="end"/>
      </w:r>
      <w:r>
        <w:rPr>
          <w:rFonts w:asciiTheme="majorBidi" w:hAnsiTheme="majorBidi" w:cs="Times New Roman"/>
          <w:color w:val="000000" w:themeColor="text1"/>
          <w:sz w:val="20"/>
          <w:szCs w:val="20"/>
        </w:rPr>
        <w:t>.</w:t>
      </w:r>
      <w:r w:rsidRPr="00F76E46">
        <w:rPr>
          <w:rFonts w:asciiTheme="majorBidi" w:hAnsiTheme="majorBidi" w:cs="Times New Roman"/>
          <w:color w:val="000000" w:themeColor="text1"/>
          <w:sz w:val="20"/>
          <w:szCs w:val="20"/>
        </w:rPr>
        <w:t xml:space="preserve"> </w:t>
      </w:r>
      <w:r>
        <w:rPr>
          <w:rFonts w:asciiTheme="majorBidi" w:hAnsiTheme="majorBidi" w:cs="Times New Roman"/>
          <w:color w:val="000000" w:themeColor="text1"/>
          <w:sz w:val="20"/>
          <w:szCs w:val="20"/>
        </w:rPr>
        <w:tab/>
      </w:r>
      <w:r w:rsidRPr="00F76E46">
        <w:rPr>
          <w:rFonts w:asciiTheme="majorBidi" w:hAnsiTheme="majorBidi" w:cs="Times New Roman"/>
          <w:color w:val="000000" w:themeColor="text1"/>
          <w:sz w:val="20"/>
          <w:szCs w:val="20"/>
        </w:rPr>
        <w:t>Estimated Gravity Model Results</w:t>
      </w:r>
      <w:bookmarkEnd w:id="11"/>
    </w:p>
    <w:tbl>
      <w:tblPr>
        <w:tblW w:w="4586" w:type="dxa"/>
        <w:tblInd w:w="720" w:type="dxa"/>
        <w:tblLook w:val="0000" w:firstRow="0" w:lastRow="0" w:firstColumn="0" w:lastColumn="0" w:noHBand="0" w:noVBand="0"/>
      </w:tblPr>
      <w:tblGrid>
        <w:gridCol w:w="1880"/>
        <w:gridCol w:w="1353"/>
        <w:gridCol w:w="1353"/>
      </w:tblGrid>
      <w:tr w:rsidR="005D727C" w:rsidRPr="00864285" w:rsidTr="00C92E74">
        <w:trPr>
          <w:trHeight w:val="261"/>
        </w:trPr>
        <w:tc>
          <w:tcPr>
            <w:tcW w:w="0" w:type="auto"/>
            <w:tcBorders>
              <w:top w:val="single" w:sz="4" w:space="0" w:color="auto"/>
              <w:bottom w:val="single" w:sz="4" w:space="0" w:color="auto"/>
            </w:tcBorders>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b/>
                <w:bCs/>
                <w:sz w:val="20"/>
                <w:szCs w:val="20"/>
              </w:rPr>
            </w:pPr>
            <w:r w:rsidRPr="00864285">
              <w:rPr>
                <w:rFonts w:ascii="Times New Roman" w:hAnsi="Times New Roman" w:cs="Times New Roman"/>
                <w:b/>
                <w:bCs/>
                <w:sz w:val="20"/>
                <w:szCs w:val="20"/>
              </w:rPr>
              <w:t>Variable</w:t>
            </w:r>
          </w:p>
        </w:tc>
        <w:tc>
          <w:tcPr>
            <w:tcW w:w="0" w:type="auto"/>
            <w:gridSpan w:val="2"/>
            <w:tcBorders>
              <w:top w:val="single" w:sz="4" w:space="0" w:color="auto"/>
              <w:bottom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b/>
                <w:bCs/>
                <w:sz w:val="20"/>
                <w:szCs w:val="20"/>
              </w:rPr>
            </w:pPr>
            <w:r w:rsidRPr="00864285">
              <w:rPr>
                <w:rFonts w:ascii="Times New Roman" w:hAnsi="Times New Roman" w:cs="Times New Roman"/>
                <w:b/>
                <w:bCs/>
                <w:sz w:val="20"/>
                <w:szCs w:val="20"/>
              </w:rPr>
              <w:t xml:space="preserve">Total </w:t>
            </w:r>
            <w:r>
              <w:rPr>
                <w:rFonts w:ascii="Times New Roman" w:hAnsi="Times New Roman" w:cs="Times New Roman"/>
                <w:b/>
                <w:bCs/>
                <w:sz w:val="20"/>
                <w:szCs w:val="20"/>
              </w:rPr>
              <w:t>Exports</w:t>
            </w:r>
          </w:p>
        </w:tc>
      </w:tr>
      <w:tr w:rsidR="005D727C" w:rsidRPr="00864285" w:rsidTr="00C92E74">
        <w:trPr>
          <w:trHeight w:val="276"/>
        </w:trPr>
        <w:tc>
          <w:tcPr>
            <w:tcW w:w="0" w:type="auto"/>
            <w:tcBorders>
              <w:top w:val="single" w:sz="4" w:space="0" w:color="auto"/>
              <w:bottom w:val="single" w:sz="4" w:space="0" w:color="auto"/>
            </w:tcBorders>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single" w:sz="4" w:space="0" w:color="auto"/>
              <w:bottom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PPML</w:t>
            </w:r>
          </w:p>
        </w:tc>
        <w:tc>
          <w:tcPr>
            <w:tcW w:w="0" w:type="auto"/>
            <w:tcBorders>
              <w:top w:val="single" w:sz="4" w:space="0" w:color="auto"/>
              <w:bottom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PPMLFE</w:t>
            </w:r>
          </w:p>
        </w:tc>
      </w:tr>
      <w:tr w:rsidR="005D727C" w:rsidRPr="00864285" w:rsidTr="00C92E74">
        <w:trPr>
          <w:trHeight w:val="261"/>
        </w:trPr>
        <w:tc>
          <w:tcPr>
            <w:tcW w:w="0" w:type="auto"/>
            <w:tcBorders>
              <w:top w:val="single" w:sz="4" w:space="0" w:color="auto"/>
            </w:tcBorders>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ln_egdp</w:t>
            </w:r>
          </w:p>
        </w:tc>
        <w:tc>
          <w:tcPr>
            <w:tcW w:w="0" w:type="auto"/>
            <w:tcBorders>
              <w:top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0.817</w:t>
            </w:r>
          </w:p>
        </w:tc>
        <w:tc>
          <w:tcPr>
            <w:tcW w:w="0" w:type="auto"/>
            <w:tcBorders>
              <w:top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(0.053)</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ln_igdp</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0.862</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(0.065)</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ln_epop</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-0.150</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(0.046)</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ln_ipop</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-0.044</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(0.051)</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ln_REM_EXP</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0.952</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(0.134)</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ln_REM_IMP</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0.117</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(0.011)</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ln_dist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-1.135</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-0.979</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(0.085)</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(0.028)</w:t>
            </w:r>
            <w:r w:rsidRPr="00864285">
              <w:rPr>
                <w:rFonts w:ascii="Times New Roman" w:hAnsi="Times New Roman" w:cs="Times New Roman"/>
                <w:sz w:val="20"/>
                <w:szCs w:val="20"/>
                <w:vertAlign w:val="superscript"/>
              </w:rPr>
              <w:t>***</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Comcol</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0.611</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0.393</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(0.235)</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(0.062)</w:t>
            </w:r>
            <w:r w:rsidRPr="00864285">
              <w:rPr>
                <w:rFonts w:ascii="Times New Roman" w:hAnsi="Times New Roman" w:cs="Times New Roman"/>
                <w:sz w:val="20"/>
                <w:szCs w:val="20"/>
                <w:vertAlign w:val="superscript"/>
              </w:rPr>
              <w:t>***</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Contig</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-0.756</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-0.572</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(0.285)</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(0.075)</w:t>
            </w:r>
            <w:r w:rsidRPr="00864285">
              <w:rPr>
                <w:rFonts w:ascii="Times New Roman" w:hAnsi="Times New Roman" w:cs="Times New Roman"/>
                <w:sz w:val="20"/>
                <w:szCs w:val="20"/>
                <w:vertAlign w:val="superscript"/>
              </w:rPr>
              <w:t>***</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Colony</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0.027</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0.750</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(0.198)</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(0.064)</w:t>
            </w:r>
            <w:r w:rsidRPr="00864285">
              <w:rPr>
                <w:rFonts w:ascii="Times New Roman" w:hAnsi="Times New Roman" w:cs="Times New Roman"/>
                <w:sz w:val="20"/>
                <w:szCs w:val="20"/>
                <w:vertAlign w:val="superscript"/>
              </w:rPr>
              <w:t>***</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comlang_off</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0.401</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-0.012</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(0.181)</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(0.059)</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DIORA</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1.053</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0.437</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(0.185)</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(0.181)</w:t>
            </w:r>
            <w:r w:rsidRPr="00864285">
              <w:rPr>
                <w:rFonts w:ascii="Times New Roman" w:hAnsi="Times New Roman" w:cs="Times New Roman"/>
                <w:sz w:val="20"/>
                <w:szCs w:val="20"/>
                <w:vertAlign w:val="superscript"/>
              </w:rPr>
              <w:t>**</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DIORAX</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0.670</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0.450</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(0.150)</w:t>
            </w:r>
            <w:r w:rsidRPr="00864285">
              <w:rPr>
                <w:rFonts w:ascii="Times New Roman" w:hAnsi="Times New Roman" w:cs="Times New Roman"/>
                <w:sz w:val="20"/>
                <w:szCs w:val="20"/>
                <w:vertAlign w:val="superscript"/>
              </w:rPr>
              <w:t>***</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(0.170)</w:t>
            </w:r>
            <w:r w:rsidRPr="00864285">
              <w:rPr>
                <w:rFonts w:ascii="Times New Roman" w:hAnsi="Times New Roman" w:cs="Times New Roman"/>
                <w:sz w:val="20"/>
                <w:szCs w:val="20"/>
                <w:vertAlign w:val="superscript"/>
              </w:rPr>
              <w:t>***</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IORGCC</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0.234</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0.720</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(0.278)</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(0.136)</w:t>
            </w:r>
            <w:r w:rsidRPr="00864285">
              <w:rPr>
                <w:rFonts w:ascii="Times New Roman" w:hAnsi="Times New Roman" w:cs="Times New Roman"/>
                <w:sz w:val="20"/>
                <w:szCs w:val="20"/>
                <w:vertAlign w:val="superscript"/>
              </w:rPr>
              <w:t>***</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IORPAFTA</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-0.223</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0.143</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(0.203)</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(0.183)</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DGCC</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-0.462</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-0.438</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(0.283)</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(0.130)</w:t>
            </w:r>
            <w:r w:rsidRPr="00864285">
              <w:rPr>
                <w:rFonts w:ascii="Times New Roman" w:hAnsi="Times New Roman" w:cs="Times New Roman"/>
                <w:sz w:val="20"/>
                <w:szCs w:val="20"/>
                <w:vertAlign w:val="superscript"/>
              </w:rPr>
              <w:t>***</w:t>
            </w:r>
          </w:p>
        </w:tc>
      </w:tr>
      <w:tr w:rsidR="005D727C" w:rsidRPr="00864285" w:rsidTr="00C92E74">
        <w:trPr>
          <w:trHeight w:val="276"/>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DPAFTA</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-0.342</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0.915</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(0.251)</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(0.172)</w:t>
            </w:r>
            <w:r w:rsidRPr="00864285">
              <w:rPr>
                <w:rFonts w:ascii="Times New Roman" w:hAnsi="Times New Roman" w:cs="Times New Roman"/>
                <w:sz w:val="20"/>
                <w:szCs w:val="20"/>
                <w:vertAlign w:val="superscript"/>
              </w:rPr>
              <w:t>***</w:t>
            </w:r>
          </w:p>
        </w:tc>
      </w:tr>
      <w:tr w:rsidR="005D727C" w:rsidRPr="00864285" w:rsidTr="00C92E74">
        <w:trPr>
          <w:trHeight w:val="261"/>
        </w:trPr>
        <w:tc>
          <w:tcPr>
            <w:tcW w:w="0" w:type="auto"/>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_cons</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-40.156</w:t>
            </w:r>
          </w:p>
        </w:tc>
        <w:tc>
          <w:tcPr>
            <w:tcW w:w="0" w:type="auto"/>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18.687</w:t>
            </w:r>
          </w:p>
        </w:tc>
      </w:tr>
      <w:tr w:rsidR="005D727C" w:rsidRPr="00864285" w:rsidTr="00C92E74">
        <w:trPr>
          <w:trHeight w:val="276"/>
        </w:trPr>
        <w:tc>
          <w:tcPr>
            <w:tcW w:w="0" w:type="auto"/>
            <w:tcBorders>
              <w:bottom w:val="single" w:sz="4" w:space="0" w:color="auto"/>
            </w:tcBorders>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bottom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(3.405)</w:t>
            </w:r>
            <w:r w:rsidRPr="00864285">
              <w:rPr>
                <w:rFonts w:ascii="Times New Roman" w:hAnsi="Times New Roman" w:cs="Times New Roman"/>
                <w:sz w:val="20"/>
                <w:szCs w:val="20"/>
                <w:vertAlign w:val="superscript"/>
              </w:rPr>
              <w:t>***</w:t>
            </w:r>
          </w:p>
        </w:tc>
        <w:tc>
          <w:tcPr>
            <w:tcW w:w="0" w:type="auto"/>
            <w:tcBorders>
              <w:bottom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(0.960)</w:t>
            </w:r>
            <w:r w:rsidRPr="00864285">
              <w:rPr>
                <w:rFonts w:ascii="Times New Roman" w:hAnsi="Times New Roman" w:cs="Times New Roman"/>
                <w:sz w:val="20"/>
                <w:szCs w:val="20"/>
                <w:vertAlign w:val="superscript"/>
              </w:rPr>
              <w:t>***</w:t>
            </w:r>
          </w:p>
        </w:tc>
      </w:tr>
      <w:tr w:rsidR="005D727C" w:rsidRPr="00864285" w:rsidTr="00C92E74">
        <w:trPr>
          <w:trHeight w:val="261"/>
        </w:trPr>
        <w:tc>
          <w:tcPr>
            <w:tcW w:w="0" w:type="auto"/>
            <w:tcBorders>
              <w:top w:val="single" w:sz="4" w:space="0" w:color="auto"/>
            </w:tcBorders>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i/>
                <w:iCs/>
                <w:sz w:val="20"/>
                <w:szCs w:val="20"/>
              </w:rPr>
              <w:t>N</w:t>
            </w:r>
          </w:p>
        </w:tc>
        <w:tc>
          <w:tcPr>
            <w:tcW w:w="0" w:type="auto"/>
            <w:tcBorders>
              <w:top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20820</w:t>
            </w:r>
          </w:p>
        </w:tc>
        <w:tc>
          <w:tcPr>
            <w:tcW w:w="0" w:type="auto"/>
            <w:tcBorders>
              <w:top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19888</w:t>
            </w:r>
          </w:p>
        </w:tc>
      </w:tr>
      <w:tr w:rsidR="005D727C" w:rsidRPr="00864285" w:rsidTr="00C92E74">
        <w:trPr>
          <w:trHeight w:val="276"/>
        </w:trPr>
        <w:tc>
          <w:tcPr>
            <w:tcW w:w="0" w:type="auto"/>
            <w:tcBorders>
              <w:bottom w:val="single" w:sz="4" w:space="0" w:color="auto"/>
            </w:tcBorders>
          </w:tcPr>
          <w:p w:rsidR="005D727C" w:rsidRPr="00864285" w:rsidRDefault="005D727C" w:rsidP="00C92E74">
            <w:pPr>
              <w:widowControl w:val="0"/>
              <w:autoSpaceDE w:val="0"/>
              <w:autoSpaceDN w:val="0"/>
              <w:adjustRightInd w:val="0"/>
              <w:spacing w:after="0" w:line="240" w:lineRule="auto"/>
              <w:rPr>
                <w:rFonts w:ascii="Times New Roman" w:hAnsi="Times New Roman" w:cs="Times New Roman"/>
                <w:sz w:val="20"/>
                <w:szCs w:val="20"/>
              </w:rPr>
            </w:pPr>
            <w:r w:rsidRPr="00864285">
              <w:rPr>
                <w:rFonts w:ascii="Times New Roman" w:hAnsi="Times New Roman" w:cs="Times New Roman"/>
                <w:sz w:val="20"/>
                <w:szCs w:val="20"/>
              </w:rPr>
              <w:t>R</w:t>
            </w:r>
            <w:r w:rsidRPr="00864285">
              <w:rPr>
                <w:rFonts w:ascii="Times New Roman" w:hAnsi="Times New Roman" w:cs="Times New Roman"/>
                <w:sz w:val="20"/>
                <w:szCs w:val="20"/>
                <w:vertAlign w:val="superscript"/>
              </w:rPr>
              <w:t>2</w:t>
            </w:r>
          </w:p>
        </w:tc>
        <w:tc>
          <w:tcPr>
            <w:tcW w:w="0" w:type="auto"/>
            <w:tcBorders>
              <w:bottom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0.512</w:t>
            </w:r>
          </w:p>
        </w:tc>
        <w:tc>
          <w:tcPr>
            <w:tcW w:w="0" w:type="auto"/>
            <w:tcBorders>
              <w:bottom w:val="single" w:sz="4" w:space="0" w:color="auto"/>
            </w:tcBorders>
          </w:tcPr>
          <w:p w:rsidR="005D727C" w:rsidRPr="00864285" w:rsidRDefault="005D727C" w:rsidP="00C92E74">
            <w:pPr>
              <w:widowControl w:val="0"/>
              <w:autoSpaceDE w:val="0"/>
              <w:autoSpaceDN w:val="0"/>
              <w:adjustRightInd w:val="0"/>
              <w:spacing w:after="0" w:line="240" w:lineRule="auto"/>
              <w:jc w:val="center"/>
              <w:rPr>
                <w:rFonts w:ascii="Times New Roman" w:hAnsi="Times New Roman" w:cs="Times New Roman"/>
                <w:sz w:val="20"/>
                <w:szCs w:val="20"/>
              </w:rPr>
            </w:pPr>
            <w:r w:rsidRPr="00864285">
              <w:rPr>
                <w:rFonts w:ascii="Times New Roman" w:hAnsi="Times New Roman" w:cs="Times New Roman"/>
                <w:sz w:val="20"/>
                <w:szCs w:val="20"/>
              </w:rPr>
              <w:t>0.772</w:t>
            </w:r>
          </w:p>
        </w:tc>
      </w:tr>
    </w:tbl>
    <w:p w:rsidR="005D727C" w:rsidRPr="00864285" w:rsidRDefault="005D727C" w:rsidP="005D727C">
      <w:pPr>
        <w:widowControl w:val="0"/>
        <w:autoSpaceDE w:val="0"/>
        <w:autoSpaceDN w:val="0"/>
        <w:adjustRightInd w:val="0"/>
        <w:spacing w:after="0" w:line="240" w:lineRule="auto"/>
        <w:ind w:left="720"/>
        <w:rPr>
          <w:rFonts w:ascii="Times New Roman" w:hAnsi="Times New Roman" w:cs="Times New Roman"/>
          <w:sz w:val="20"/>
          <w:szCs w:val="20"/>
        </w:rPr>
      </w:pPr>
      <w:r w:rsidRPr="00864285">
        <w:rPr>
          <w:rFonts w:ascii="Times New Roman" w:hAnsi="Times New Roman" w:cs="Times New Roman"/>
          <w:sz w:val="20"/>
          <w:szCs w:val="20"/>
        </w:rPr>
        <w:t>Standard errors in parentheses</w:t>
      </w:r>
    </w:p>
    <w:p w:rsidR="005D727C" w:rsidRPr="00864285" w:rsidRDefault="005D727C" w:rsidP="005D727C">
      <w:pPr>
        <w:widowControl w:val="0"/>
        <w:autoSpaceDE w:val="0"/>
        <w:autoSpaceDN w:val="0"/>
        <w:adjustRightInd w:val="0"/>
        <w:spacing w:after="0" w:line="240" w:lineRule="auto"/>
        <w:ind w:left="720"/>
        <w:rPr>
          <w:rFonts w:ascii="Times New Roman" w:hAnsi="Times New Roman" w:cs="Times New Roman"/>
          <w:sz w:val="20"/>
          <w:szCs w:val="20"/>
        </w:rPr>
      </w:pPr>
      <w:r w:rsidRPr="00864285">
        <w:rPr>
          <w:rFonts w:ascii="Times New Roman" w:hAnsi="Times New Roman" w:cs="Times New Roman"/>
          <w:sz w:val="20"/>
          <w:szCs w:val="20"/>
          <w:vertAlign w:val="superscript"/>
        </w:rPr>
        <w:t>*</w:t>
      </w:r>
      <w:r w:rsidRPr="00864285">
        <w:rPr>
          <w:rFonts w:ascii="Times New Roman" w:hAnsi="Times New Roman" w:cs="Times New Roman"/>
          <w:sz w:val="20"/>
          <w:szCs w:val="20"/>
        </w:rPr>
        <w:t xml:space="preserve"> </w:t>
      </w:r>
      <w:r w:rsidRPr="00864285">
        <w:rPr>
          <w:rFonts w:ascii="Times New Roman" w:hAnsi="Times New Roman" w:cs="Times New Roman"/>
          <w:i/>
          <w:iCs/>
          <w:sz w:val="20"/>
          <w:szCs w:val="20"/>
        </w:rPr>
        <w:t>p</w:t>
      </w:r>
      <w:r w:rsidRPr="00864285">
        <w:rPr>
          <w:rFonts w:ascii="Times New Roman" w:hAnsi="Times New Roman" w:cs="Times New Roman"/>
          <w:sz w:val="20"/>
          <w:szCs w:val="20"/>
        </w:rPr>
        <w:t xml:space="preserve"> &lt; 0.10, </w:t>
      </w:r>
      <w:r w:rsidRPr="00864285">
        <w:rPr>
          <w:rFonts w:ascii="Times New Roman" w:hAnsi="Times New Roman" w:cs="Times New Roman"/>
          <w:sz w:val="20"/>
          <w:szCs w:val="20"/>
          <w:vertAlign w:val="superscript"/>
        </w:rPr>
        <w:t>**</w:t>
      </w:r>
      <w:r w:rsidRPr="00864285">
        <w:rPr>
          <w:rFonts w:ascii="Times New Roman" w:hAnsi="Times New Roman" w:cs="Times New Roman"/>
          <w:sz w:val="20"/>
          <w:szCs w:val="20"/>
        </w:rPr>
        <w:t xml:space="preserve"> </w:t>
      </w:r>
      <w:r w:rsidRPr="00864285">
        <w:rPr>
          <w:rFonts w:ascii="Times New Roman" w:hAnsi="Times New Roman" w:cs="Times New Roman"/>
          <w:i/>
          <w:iCs/>
          <w:sz w:val="20"/>
          <w:szCs w:val="20"/>
        </w:rPr>
        <w:t>p</w:t>
      </w:r>
      <w:r w:rsidRPr="00864285">
        <w:rPr>
          <w:rFonts w:ascii="Times New Roman" w:hAnsi="Times New Roman" w:cs="Times New Roman"/>
          <w:sz w:val="20"/>
          <w:szCs w:val="20"/>
        </w:rPr>
        <w:t xml:space="preserve"> &lt; .05, </w:t>
      </w:r>
      <w:r w:rsidRPr="00864285">
        <w:rPr>
          <w:rFonts w:ascii="Times New Roman" w:hAnsi="Times New Roman" w:cs="Times New Roman"/>
          <w:sz w:val="20"/>
          <w:szCs w:val="20"/>
          <w:vertAlign w:val="superscript"/>
        </w:rPr>
        <w:t>***</w:t>
      </w:r>
      <w:r w:rsidRPr="00864285">
        <w:rPr>
          <w:rFonts w:ascii="Times New Roman" w:hAnsi="Times New Roman" w:cs="Times New Roman"/>
          <w:sz w:val="20"/>
          <w:szCs w:val="20"/>
        </w:rPr>
        <w:t xml:space="preserve"> </w:t>
      </w:r>
      <w:r w:rsidRPr="00864285">
        <w:rPr>
          <w:rFonts w:ascii="Times New Roman" w:hAnsi="Times New Roman" w:cs="Times New Roman"/>
          <w:i/>
          <w:iCs/>
          <w:sz w:val="20"/>
          <w:szCs w:val="20"/>
        </w:rPr>
        <w:t>p</w:t>
      </w:r>
      <w:r w:rsidRPr="00864285">
        <w:rPr>
          <w:rFonts w:ascii="Times New Roman" w:hAnsi="Times New Roman" w:cs="Times New Roman"/>
          <w:sz w:val="20"/>
          <w:szCs w:val="20"/>
        </w:rPr>
        <w:t xml:space="preserve"> &lt; .01</w:t>
      </w:r>
    </w:p>
    <w:p w:rsidR="005D727C" w:rsidRPr="0053681D" w:rsidRDefault="005D727C" w:rsidP="005D727C">
      <w:pPr>
        <w:widowControl w:val="0"/>
        <w:autoSpaceDE w:val="0"/>
        <w:autoSpaceDN w:val="0"/>
        <w:adjustRightInd w:val="0"/>
        <w:spacing w:after="0" w:line="240" w:lineRule="auto"/>
        <w:ind w:left="720"/>
        <w:rPr>
          <w:rFonts w:ascii="Times New Roman" w:hAnsi="Times New Roman" w:cs="Times New Roman"/>
          <w:i/>
          <w:iCs/>
          <w:sz w:val="20"/>
          <w:szCs w:val="20"/>
        </w:rPr>
      </w:pPr>
      <w:r w:rsidRPr="00864285">
        <w:rPr>
          <w:rFonts w:ascii="Times New Roman" w:hAnsi="Times New Roman" w:cs="Times New Roman"/>
          <w:i/>
          <w:iCs/>
          <w:sz w:val="20"/>
          <w:szCs w:val="20"/>
        </w:rPr>
        <w:t xml:space="preserve">PPML stands for PPML with remoteness while PPMLFE stands for PPML with importer-time and exporter time fixed effect. </w:t>
      </w:r>
    </w:p>
    <w:p w:rsidR="005D727C" w:rsidRDefault="005D727C" w:rsidP="008A24A2">
      <w:pPr>
        <w:spacing w:after="0" w:line="360" w:lineRule="auto"/>
        <w:ind w:right="360"/>
        <w:jc w:val="both"/>
        <w:rPr>
          <w:rFonts w:ascii="Times New Roman" w:hAnsi="Times New Roman" w:cs="Times New Roman"/>
          <w:bCs/>
          <w:sz w:val="24"/>
          <w:szCs w:val="24"/>
        </w:rPr>
      </w:pPr>
    </w:p>
    <w:p w:rsidR="00630441" w:rsidRPr="00B558F3" w:rsidRDefault="00630441" w:rsidP="008A24A2">
      <w:pPr>
        <w:spacing w:after="0" w:line="360" w:lineRule="auto"/>
        <w:ind w:right="360"/>
        <w:jc w:val="both"/>
        <w:rPr>
          <w:rFonts w:ascii="Times New Roman" w:hAnsi="Times New Roman" w:cs="Times New Roman"/>
          <w:b/>
          <w:sz w:val="24"/>
          <w:szCs w:val="24"/>
        </w:rPr>
      </w:pPr>
    </w:p>
    <w:p w:rsidR="008C37DD" w:rsidRDefault="0074013D" w:rsidP="008A24A2">
      <w:pPr>
        <w:spacing w:after="0" w:line="360" w:lineRule="auto"/>
        <w:ind w:right="360"/>
        <w:jc w:val="both"/>
        <w:rPr>
          <w:rFonts w:ascii="Times New Roman" w:hAnsi="Times New Roman" w:cs="Times New Roman"/>
          <w:bCs/>
          <w:sz w:val="24"/>
          <w:szCs w:val="24"/>
        </w:rPr>
      </w:pPr>
      <w:r>
        <w:rPr>
          <w:rFonts w:ascii="Times New Roman" w:hAnsi="Times New Roman" w:cs="Times New Roman"/>
          <w:bCs/>
          <w:sz w:val="24"/>
          <w:szCs w:val="24"/>
        </w:rPr>
        <w:t xml:space="preserve">The negative sign could also be explained in our case by the effect of the fast growing population in the Indian Ocean region which makes the domestic market absorbs part of production thereby reducing the surplus that could be exported. The sign ambiguity of the population is also reported in </w:t>
      </w:r>
      <w:r>
        <w:rPr>
          <w:rFonts w:ascii="Times New Roman" w:hAnsi="Times New Roman" w:cs="Times New Roman"/>
          <w:bCs/>
          <w:sz w:val="24"/>
          <w:szCs w:val="24"/>
        </w:rPr>
        <w:fldChar w:fldCharType="begin" w:fldLock="1"/>
      </w:r>
      <w:r w:rsidR="00EE4776">
        <w:rPr>
          <w:rFonts w:ascii="Times New Roman" w:hAnsi="Times New Roman" w:cs="Times New Roman"/>
          <w:bCs/>
          <w:sz w:val="24"/>
          <w:szCs w:val="24"/>
        </w:rPr>
        <w:instrText>ADDIN CSL_CITATION {"citationItems":[{"id":"ITEM-1","itemData":{"author":[{"dropping-particle":"","family":"Martinez-Zarzoso","given":"Inmaculada","non-dropping-particle":"","parse-names":false,"suffix":""},{"dropping-particle":"","family":"Nowak-Lehmann","given":"Felicitas","non-dropping-particle":"","parse-names":false,"suffix":""}],"id":"ITEM-1","issue":"2","issued":{"date-parts":[["2003"]]},"page":"291-316","title":"Augmented Gravity Model:An Emperical Application To MERCOSUR-EUROPEAN Union Trade Flows","type":"article-journal","volume":"2"},"uris":["http://www.mendeley.com/documents/?uuid=2a889c69-8f4f-42bf-87f5-49d8aa31ff31"]}],"mendeley":{"formattedCitation":"(Martinez-Zarzoso &amp; Nowak-Lehmann, 2003)","manualFormatting":"Martinez-Zarzoso &amp; Nowak-Lehmann (2003)","plainTextFormattedCitation":"(Martinez-Zarzoso &amp; Nowak-Lehmann, 2003)","previouslyFormattedCitation":"(Martinez-Zarzoso &amp; Nowak-Lehmann, 2003)"},"properties":{"noteIndex":0},"schema":"https://github.com/citation-style-language/schema/raw/master/csl-citation.json"}</w:instrText>
      </w:r>
      <w:r>
        <w:rPr>
          <w:rFonts w:ascii="Times New Roman" w:hAnsi="Times New Roman" w:cs="Times New Roman"/>
          <w:bCs/>
          <w:sz w:val="24"/>
          <w:szCs w:val="24"/>
        </w:rPr>
        <w:fldChar w:fldCharType="separate"/>
      </w:r>
      <w:r w:rsidRPr="00CA6984">
        <w:rPr>
          <w:rFonts w:ascii="Times New Roman" w:hAnsi="Times New Roman" w:cs="Times New Roman"/>
          <w:bCs/>
          <w:sz w:val="24"/>
          <w:szCs w:val="24"/>
        </w:rPr>
        <w:t>Ma</w:t>
      </w:r>
      <w:r>
        <w:rPr>
          <w:rFonts w:ascii="Times New Roman" w:hAnsi="Times New Roman" w:cs="Times New Roman"/>
          <w:bCs/>
          <w:sz w:val="24"/>
          <w:szCs w:val="24"/>
        </w:rPr>
        <w:t>rtinez-Zarzoso &amp; Nowak-Lehmann (</w:t>
      </w:r>
      <w:r w:rsidRPr="00CA6984">
        <w:rPr>
          <w:rFonts w:ascii="Times New Roman" w:hAnsi="Times New Roman" w:cs="Times New Roman"/>
          <w:bCs/>
          <w:sz w:val="24"/>
          <w:szCs w:val="24"/>
        </w:rPr>
        <w:t>2003)</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and Boughanmi (2008). </w:t>
      </w:r>
    </w:p>
    <w:p w:rsidR="008C37DD" w:rsidRDefault="0074013D" w:rsidP="008A24A2">
      <w:pPr>
        <w:spacing w:after="0" w:line="360" w:lineRule="auto"/>
        <w:ind w:right="360"/>
        <w:jc w:val="both"/>
        <w:rPr>
          <w:rFonts w:ascii="Times New Roman" w:hAnsi="Times New Roman" w:cs="Times New Roman"/>
          <w:bCs/>
          <w:sz w:val="24"/>
          <w:szCs w:val="24"/>
        </w:rPr>
      </w:pPr>
      <w:r w:rsidRPr="00933F26">
        <w:rPr>
          <w:rFonts w:ascii="Times New Roman" w:hAnsi="Times New Roman" w:cs="Times New Roman"/>
          <w:bCs/>
          <w:sz w:val="24"/>
          <w:szCs w:val="24"/>
        </w:rPr>
        <w:t xml:space="preserve">The estimated distance coefficient </w:t>
      </w:r>
      <w:r>
        <w:rPr>
          <w:rFonts w:ascii="Times New Roman" w:hAnsi="Times New Roman" w:cs="Times New Roman"/>
          <w:bCs/>
          <w:sz w:val="24"/>
          <w:szCs w:val="24"/>
        </w:rPr>
        <w:t xml:space="preserve">is </w:t>
      </w:r>
      <w:r w:rsidRPr="00933F26">
        <w:rPr>
          <w:rFonts w:ascii="Times New Roman" w:hAnsi="Times New Roman" w:cs="Times New Roman"/>
          <w:bCs/>
          <w:sz w:val="24"/>
          <w:szCs w:val="24"/>
        </w:rPr>
        <w:t xml:space="preserve">significant and has the anticipated negative sign indicating that countries far apart would trade less. </w:t>
      </w:r>
      <w:r w:rsidR="00B33B41" w:rsidRPr="00933F26">
        <w:rPr>
          <w:rFonts w:ascii="Times New Roman" w:hAnsi="Times New Roman" w:cs="Times New Roman"/>
          <w:bCs/>
          <w:sz w:val="24"/>
          <w:szCs w:val="24"/>
        </w:rPr>
        <w:t xml:space="preserve">The distance coefficient variable </w:t>
      </w:r>
      <w:r w:rsidR="00B33B41">
        <w:rPr>
          <w:rFonts w:ascii="Times New Roman" w:hAnsi="Times New Roman" w:cs="Times New Roman"/>
          <w:bCs/>
          <w:sz w:val="24"/>
          <w:szCs w:val="24"/>
        </w:rPr>
        <w:t>is</w:t>
      </w:r>
      <w:r w:rsidR="00B33B41" w:rsidRPr="00933F26">
        <w:rPr>
          <w:rFonts w:ascii="Times New Roman" w:hAnsi="Times New Roman" w:cs="Times New Roman"/>
          <w:bCs/>
          <w:sz w:val="24"/>
          <w:szCs w:val="24"/>
        </w:rPr>
        <w:t xml:space="preserve"> less than </w:t>
      </w:r>
      <w:r w:rsidR="00B33B41">
        <w:rPr>
          <w:rFonts w:ascii="Times New Roman" w:hAnsi="Times New Roman" w:cs="Times New Roman"/>
          <w:bCs/>
          <w:sz w:val="24"/>
          <w:szCs w:val="24"/>
        </w:rPr>
        <w:t xml:space="preserve">unity </w:t>
      </w:r>
      <w:r w:rsidR="00B33B41" w:rsidRPr="00933F26">
        <w:rPr>
          <w:rFonts w:ascii="Times New Roman" w:hAnsi="Times New Roman" w:cs="Times New Roman"/>
          <w:bCs/>
          <w:sz w:val="24"/>
          <w:szCs w:val="24"/>
        </w:rPr>
        <w:t xml:space="preserve">showing that trade would decrease by a </w:t>
      </w:r>
      <w:r w:rsidR="00B33B41">
        <w:rPr>
          <w:rFonts w:ascii="Times New Roman" w:hAnsi="Times New Roman" w:cs="Times New Roman"/>
          <w:bCs/>
          <w:sz w:val="24"/>
          <w:szCs w:val="24"/>
        </w:rPr>
        <w:t>smaller</w:t>
      </w:r>
      <w:r w:rsidR="00B33B41" w:rsidRPr="00933F26">
        <w:rPr>
          <w:rFonts w:ascii="Times New Roman" w:hAnsi="Times New Roman" w:cs="Times New Roman"/>
          <w:bCs/>
          <w:sz w:val="24"/>
          <w:szCs w:val="24"/>
        </w:rPr>
        <w:t xml:space="preserve"> percent for every percent increase in the distance between the trading partners.</w:t>
      </w:r>
      <w:r w:rsidR="00B33B41" w:rsidRPr="00E7606B">
        <w:rPr>
          <w:rFonts w:ascii="Times New Roman" w:hAnsi="Times New Roman" w:cs="Times New Roman"/>
          <w:bCs/>
          <w:sz w:val="24"/>
          <w:szCs w:val="24"/>
        </w:rPr>
        <w:t xml:space="preserve"> </w:t>
      </w:r>
    </w:p>
    <w:p w:rsidR="008C37DD" w:rsidRDefault="00B33B41" w:rsidP="008A24A2">
      <w:pPr>
        <w:spacing w:after="0" w:line="360" w:lineRule="auto"/>
        <w:ind w:right="360"/>
        <w:jc w:val="both"/>
        <w:rPr>
          <w:rFonts w:asciiTheme="majorBidi" w:hAnsiTheme="majorBidi"/>
          <w:b/>
          <w:bCs/>
          <w:i/>
          <w:iCs/>
          <w:sz w:val="24"/>
          <w:szCs w:val="24"/>
        </w:rPr>
      </w:pPr>
      <w:r>
        <w:rPr>
          <w:rFonts w:ascii="Times New Roman" w:hAnsi="Times New Roman" w:cs="Times New Roman"/>
          <w:bCs/>
          <w:sz w:val="24"/>
          <w:szCs w:val="24"/>
        </w:rPr>
        <w:t>The remoteness index, as an indicator of multilateral resistance to trade shows a positive and significant</w:t>
      </w:r>
      <w:r w:rsidR="00BC4AA0">
        <w:rPr>
          <w:rFonts w:ascii="Times New Roman" w:hAnsi="Times New Roman" w:cs="Times New Roman"/>
          <w:bCs/>
          <w:sz w:val="24"/>
          <w:szCs w:val="24"/>
        </w:rPr>
        <w:t xml:space="preserve"> sign</w:t>
      </w:r>
      <w:r>
        <w:rPr>
          <w:rFonts w:ascii="Times New Roman" w:hAnsi="Times New Roman" w:cs="Times New Roman"/>
          <w:bCs/>
          <w:sz w:val="24"/>
          <w:szCs w:val="24"/>
        </w:rPr>
        <w:t>.</w:t>
      </w:r>
      <w:r w:rsidR="00472A93">
        <w:rPr>
          <w:rFonts w:ascii="Times New Roman" w:hAnsi="Times New Roman" w:cs="Times New Roman"/>
          <w:bCs/>
          <w:sz w:val="24"/>
          <w:szCs w:val="24"/>
        </w:rPr>
        <w:t xml:space="preserve"> </w:t>
      </w:r>
      <w:r>
        <w:rPr>
          <w:rFonts w:ascii="Times New Roman" w:hAnsi="Times New Roman" w:cs="Times New Roman"/>
          <w:bCs/>
          <w:sz w:val="24"/>
          <w:szCs w:val="24"/>
        </w:rPr>
        <w:t>The positive signs</w:t>
      </w:r>
      <w:r w:rsidR="002949EA">
        <w:rPr>
          <w:rFonts w:ascii="Times New Roman" w:hAnsi="Times New Roman" w:cs="Times New Roman"/>
          <w:bCs/>
          <w:sz w:val="24"/>
          <w:szCs w:val="24"/>
        </w:rPr>
        <w:t xml:space="preserve"> </w:t>
      </w:r>
      <w:r>
        <w:rPr>
          <w:rFonts w:ascii="Times New Roman" w:hAnsi="Times New Roman" w:cs="Times New Roman"/>
          <w:bCs/>
          <w:sz w:val="24"/>
          <w:szCs w:val="24"/>
        </w:rPr>
        <w:t>(</w:t>
      </w:r>
      <w:r w:rsidR="00472A93">
        <w:rPr>
          <w:rFonts w:ascii="Times New Roman" w:hAnsi="Times New Roman" w:cs="Times New Roman"/>
          <w:bCs/>
          <w:sz w:val="24"/>
          <w:szCs w:val="24"/>
        </w:rPr>
        <w:t xml:space="preserve"> </w:t>
      </w:r>
      <w:r>
        <w:rPr>
          <w:rFonts w:ascii="Times New Roman" w:hAnsi="Times New Roman" w:cs="Times New Roman"/>
          <w:sz w:val="24"/>
          <w:szCs w:val="24"/>
        </w:rPr>
        <w:t>ln_REM_EXP)</w:t>
      </w:r>
      <w:r>
        <w:rPr>
          <w:rFonts w:ascii="Times New Roman" w:hAnsi="Times New Roman" w:cs="Times New Roman"/>
          <w:bCs/>
          <w:sz w:val="24"/>
          <w:szCs w:val="24"/>
        </w:rPr>
        <w:t xml:space="preserve"> indicate that countries which are remote trade more with each other. The results from the PPML with fixed effect show that sharing of historical and cultural ties is significant in explaining bilateral trade. </w:t>
      </w:r>
      <w:bookmarkStart w:id="12" w:name="_Toc516749408"/>
    </w:p>
    <w:p w:rsidR="007C09CE" w:rsidRDefault="007C09CE" w:rsidP="009A4388">
      <w:pPr>
        <w:spacing w:after="0" w:line="360" w:lineRule="auto"/>
        <w:ind w:right="360"/>
        <w:jc w:val="both"/>
        <w:rPr>
          <w:rFonts w:asciiTheme="majorBidi" w:hAnsiTheme="majorBidi"/>
          <w:b/>
          <w:bCs/>
          <w:i/>
          <w:iCs/>
          <w:sz w:val="24"/>
          <w:szCs w:val="24"/>
        </w:rPr>
      </w:pPr>
    </w:p>
    <w:p w:rsidR="00B33B41" w:rsidRPr="00A16570" w:rsidRDefault="00B33B41" w:rsidP="009A4388">
      <w:pPr>
        <w:spacing w:after="0" w:line="360" w:lineRule="auto"/>
        <w:ind w:right="360"/>
        <w:jc w:val="both"/>
        <w:rPr>
          <w:rFonts w:asciiTheme="majorBidi" w:hAnsiTheme="majorBidi"/>
          <w:b/>
          <w:bCs/>
          <w:i/>
          <w:iCs/>
          <w:color w:val="000000" w:themeColor="text1"/>
          <w:sz w:val="24"/>
          <w:szCs w:val="24"/>
        </w:rPr>
      </w:pPr>
      <w:r w:rsidRPr="00843058">
        <w:rPr>
          <w:rFonts w:asciiTheme="majorBidi" w:hAnsiTheme="majorBidi"/>
          <w:b/>
          <w:bCs/>
          <w:i/>
          <w:iCs/>
          <w:sz w:val="24"/>
          <w:szCs w:val="24"/>
        </w:rPr>
        <w:t>Regional Integration Effect</w:t>
      </w:r>
      <w:bookmarkEnd w:id="12"/>
    </w:p>
    <w:p w:rsidR="008E5DF3" w:rsidRDefault="00B33B41" w:rsidP="008E5DF3">
      <w:pPr>
        <w:spacing w:after="120" w:line="360" w:lineRule="auto"/>
        <w:ind w:right="360"/>
        <w:jc w:val="both"/>
        <w:rPr>
          <w:rFonts w:ascii="Times New Roman" w:hAnsi="Times New Roman" w:cs="Times New Roman"/>
          <w:bCs/>
          <w:sz w:val="24"/>
          <w:szCs w:val="24"/>
        </w:rPr>
      </w:pPr>
      <w:r>
        <w:rPr>
          <w:rFonts w:ascii="Times New Roman" w:hAnsi="Times New Roman" w:cs="Times New Roman"/>
          <w:bCs/>
          <w:sz w:val="24"/>
          <w:szCs w:val="24"/>
        </w:rPr>
        <w:t xml:space="preserve">A dummy variable has been used to capture the effect on the level of trade resulting from engaging in a regional trade cooperation. The RTA dummy captures both the extent of intra-trade and openness effect of IORA beyond what their economic size, market size and geographical indicators predicts. The result showed that being a member of IORA increases trade by 55 percent, </w:t>
      </w:r>
      <w:r w:rsidRPr="00424959">
        <w:rPr>
          <w:rFonts w:ascii="Times New Roman" w:hAnsi="Times New Roman" w:cs="Times New Roman"/>
          <w:bCs/>
          <w:sz w:val="24"/>
          <w:szCs w:val="24"/>
        </w:rPr>
        <w:t>[e</w:t>
      </w:r>
      <w:r>
        <w:rPr>
          <w:rFonts w:ascii="Times New Roman" w:hAnsi="Times New Roman" w:cs="Times New Roman"/>
          <w:bCs/>
          <w:sz w:val="24"/>
          <w:szCs w:val="24"/>
          <w:vertAlign w:val="superscript"/>
        </w:rPr>
        <w:t>0.437</w:t>
      </w:r>
      <w:r w:rsidRPr="00424959">
        <w:rPr>
          <w:rFonts w:ascii="Times New Roman" w:hAnsi="Times New Roman" w:cs="Times New Roman"/>
          <w:bCs/>
          <w:sz w:val="24"/>
          <w:szCs w:val="24"/>
        </w:rPr>
        <w:t>−1</w:t>
      </w:r>
      <w:r>
        <w:rPr>
          <w:rFonts w:ascii="Times New Roman" w:hAnsi="Times New Roman" w:cs="Times New Roman"/>
          <w:bCs/>
          <w:sz w:val="24"/>
          <w:szCs w:val="24"/>
        </w:rPr>
        <w:t>]</w:t>
      </w:r>
      <w:r w:rsidRPr="00424959">
        <w:rPr>
          <w:rFonts w:ascii="Times New Roman" w:hAnsi="Times New Roman" w:cs="Times New Roman"/>
          <w:bCs/>
          <w:sz w:val="24"/>
          <w:szCs w:val="24"/>
        </w:rPr>
        <w:t xml:space="preserve"> ×100</w:t>
      </w:r>
      <w:r w:rsidR="008C37DD">
        <w:rPr>
          <w:rFonts w:ascii="Times New Roman" w:hAnsi="Times New Roman" w:cs="Times New Roman"/>
          <w:bCs/>
          <w:sz w:val="24"/>
          <w:szCs w:val="24"/>
        </w:rPr>
        <w:t>.</w:t>
      </w:r>
      <w:r>
        <w:rPr>
          <w:rFonts w:ascii="Times New Roman" w:hAnsi="Times New Roman" w:cs="Times New Roman"/>
          <w:bCs/>
          <w:sz w:val="24"/>
          <w:szCs w:val="24"/>
        </w:rPr>
        <w:t xml:space="preserve"> In addition, the structural specification of the model allows us to derive the average tariff equivalent (AVE). Using trade elasticity (TE) equal = 4 as employed in the literatures</w:t>
      </w:r>
      <w:r w:rsidRPr="002A2D98">
        <w:rPr>
          <w:rStyle w:val="FootnoteReference"/>
          <w:rFonts w:cs="Arial"/>
        </w:rPr>
        <w:footnoteReference w:id="18"/>
      </w:r>
      <w:r>
        <w:rPr>
          <w:rFonts w:ascii="Times New Roman" w:hAnsi="Times New Roman" w:cs="Times New Roman"/>
          <w:bCs/>
          <w:sz w:val="24"/>
          <w:szCs w:val="24"/>
        </w:rPr>
        <w:t xml:space="preserve">, there would be an average tariff equivalent fall of 10.3 percent for total </w:t>
      </w:r>
      <w:r w:rsidR="008C37DD">
        <w:rPr>
          <w:rFonts w:ascii="Times New Roman" w:hAnsi="Times New Roman" w:cs="Times New Roman"/>
          <w:bCs/>
          <w:sz w:val="24"/>
          <w:szCs w:val="24"/>
        </w:rPr>
        <w:t>trade</w:t>
      </w:r>
      <w:r>
        <w:rPr>
          <w:rFonts w:ascii="Times New Roman" w:hAnsi="Times New Roman" w:cs="Times New Roman"/>
          <w:bCs/>
          <w:sz w:val="24"/>
          <w:szCs w:val="24"/>
        </w:rPr>
        <w:t xml:space="preserve"> </w:t>
      </w:r>
      <w:r w:rsidR="008C37DD">
        <w:rPr>
          <w:rFonts w:ascii="Times New Roman" w:hAnsi="Times New Roman" w:cs="Times New Roman"/>
          <w:bCs/>
          <w:sz w:val="24"/>
          <w:szCs w:val="24"/>
        </w:rPr>
        <w:t xml:space="preserve">as </w:t>
      </w:r>
      <w:r w:rsidRPr="00237099">
        <w:rPr>
          <w:rFonts w:ascii="Times New Roman" w:hAnsi="Times New Roman" w:cs="Times New Roman"/>
          <w:bCs/>
          <w:sz w:val="24"/>
          <w:szCs w:val="24"/>
        </w:rPr>
        <w:t xml:space="preserve">IORA </w:t>
      </w:r>
      <w:r w:rsidR="008C37DD" w:rsidRPr="00237099">
        <w:rPr>
          <w:rFonts w:ascii="Times New Roman" w:hAnsi="Times New Roman" w:cs="Times New Roman"/>
          <w:bCs/>
          <w:sz w:val="24"/>
          <w:szCs w:val="24"/>
        </w:rPr>
        <w:t>engag</w:t>
      </w:r>
      <w:r w:rsidR="008C37DD">
        <w:rPr>
          <w:rFonts w:ascii="Times New Roman" w:hAnsi="Times New Roman" w:cs="Times New Roman"/>
          <w:bCs/>
          <w:sz w:val="24"/>
          <w:szCs w:val="24"/>
        </w:rPr>
        <w:t>es</w:t>
      </w:r>
      <w:r w:rsidR="008C37DD" w:rsidRPr="00237099">
        <w:rPr>
          <w:rFonts w:ascii="Times New Roman" w:hAnsi="Times New Roman" w:cs="Times New Roman"/>
          <w:bCs/>
          <w:sz w:val="24"/>
          <w:szCs w:val="24"/>
        </w:rPr>
        <w:t xml:space="preserve"> </w:t>
      </w:r>
      <w:r w:rsidRPr="00237099">
        <w:rPr>
          <w:rFonts w:ascii="Times New Roman" w:hAnsi="Times New Roman" w:cs="Times New Roman"/>
          <w:bCs/>
          <w:sz w:val="24"/>
          <w:szCs w:val="24"/>
        </w:rPr>
        <w:t>in deeper economic association.</w:t>
      </w:r>
      <w:r w:rsidR="008C37DD">
        <w:rPr>
          <w:rFonts w:ascii="Times New Roman" w:hAnsi="Times New Roman" w:cs="Times New Roman"/>
          <w:bCs/>
          <w:sz w:val="24"/>
          <w:szCs w:val="24"/>
        </w:rPr>
        <w:t xml:space="preserve"> </w:t>
      </w:r>
      <w:r>
        <w:rPr>
          <w:rFonts w:ascii="Times New Roman" w:hAnsi="Times New Roman" w:cs="Times New Roman"/>
          <w:bCs/>
          <w:sz w:val="24"/>
          <w:szCs w:val="24"/>
        </w:rPr>
        <w:t>The coefficient associated with DIORA and DIOARX are positive and significant</w:t>
      </w:r>
      <w:r w:rsidR="008C37DD">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8C37DD">
        <w:rPr>
          <w:rFonts w:ascii="Times New Roman" w:hAnsi="Times New Roman" w:cs="Times New Roman"/>
          <w:bCs/>
          <w:sz w:val="24"/>
          <w:szCs w:val="24"/>
        </w:rPr>
        <w:t>T</w:t>
      </w:r>
      <w:r>
        <w:rPr>
          <w:rFonts w:ascii="Times New Roman" w:hAnsi="Times New Roman" w:cs="Times New Roman"/>
          <w:bCs/>
          <w:sz w:val="24"/>
          <w:szCs w:val="24"/>
        </w:rPr>
        <w:t xml:space="preserve">his indicates that IORA trade occurred without trade diversion lending support to the members’ stated open regionalism </w:t>
      </w:r>
      <w:r>
        <w:rPr>
          <w:rFonts w:ascii="Times New Roman" w:hAnsi="Times New Roman" w:cs="Times New Roman"/>
          <w:bCs/>
          <w:sz w:val="24"/>
          <w:szCs w:val="24"/>
        </w:rPr>
        <w:lastRenderedPageBreak/>
        <w:t>principle on which the formation of IORA was based</w:t>
      </w:r>
      <w:r w:rsidR="00AB7C89">
        <w:rPr>
          <w:rFonts w:ascii="Times New Roman" w:hAnsi="Times New Roman" w:cs="Times New Roman"/>
          <w:bCs/>
          <w:sz w:val="24"/>
          <w:szCs w:val="24"/>
        </w:rPr>
        <w:t xml:space="preserve"> </w:t>
      </w:r>
      <w:r w:rsidR="00AB7C89" w:rsidRPr="00464C36">
        <w:rPr>
          <w:rFonts w:ascii="Times New Roman" w:hAnsi="Times New Roman" w:cs="Times New Roman"/>
          <w:bCs/>
          <w:sz w:val="24"/>
          <w:szCs w:val="24"/>
        </w:rPr>
        <w:fldChar w:fldCharType="begin" w:fldLock="1"/>
      </w:r>
      <w:r w:rsidR="00AB7C89" w:rsidRPr="00464C36">
        <w:rPr>
          <w:rFonts w:ascii="Times New Roman" w:hAnsi="Times New Roman" w:cs="Times New Roman"/>
          <w:bCs/>
          <w:sz w:val="24"/>
          <w:szCs w:val="24"/>
        </w:rPr>
        <w:instrText>ADDIN CSL_CITATION {"citationItems":[{"id":"ITEM-1","itemData":{"author":[{"dropping-particle":"","family":"Coyle","given":"William","non-dropping-particle":"","parse-names":false,"suffix":""},{"dropping-particle":"","family":"Wang","given":"Zhi","non-dropping-particle":"","parse-names":false,"suffix":""}],"container-title":"Regional Trade Agreements and US Agriculture. Mary E. Burfisher and","id":"ITEM-1","issued":{"date-parts":[["1998"]]},"page":"108","title":"Economic Integration and Open Regionalism in APEC: The Gains for US Agriculture","type":"article-journal"},"uris":["http://www.mendeley.com/documents/?uuid=b9c9f5aa-29f8-4f23-9b59-f5063d61305a"]},{"id":"ITEM-2","itemData":{"ISSN":"0378-5920","author":[{"dropping-particle":"","family":"Wang","given":"Zhi","non-dropping-particle":"","parse-names":false,"suffix":""},{"dropping-particle":"","family":"Coyle","given":"Bill","non-dropping-particle":"","parse-names":false,"suffix":""}],"container-title":"World Economy","id":"ITEM-2","issue":"4","issued":{"date-parts":[["2002"]]},"page":"563-589","publisher":"Wiley Online Library","title":"APEC open regionalism and its impact on the world economy: a computable general equilibrium analysis","type":"article-journal","volume":"25"},"uris":["http://www.mendeley.com/documents/?uuid=9a8e1510-03df-4a1e-a707-c5a4c068e0c7"]}],"mendeley":{"formattedCitation":"(Coyle &amp; Wang, 1998; Wang &amp; Coyle, 2002)","plainTextFormattedCitation":"(Coyle &amp; Wang, 1998; Wang &amp; Coyle, 2002)","previouslyFormattedCitation":"(Coyle &amp; Wang, 1998; Wang &amp; Coyle, 2002)"},"properties":{"noteIndex":0},"schema":"https://github.com/citation-style-language/schema/raw/master/csl-citation.json"}</w:instrText>
      </w:r>
      <w:r w:rsidR="00AB7C89" w:rsidRPr="00464C36">
        <w:rPr>
          <w:rFonts w:ascii="Times New Roman" w:hAnsi="Times New Roman" w:cs="Times New Roman"/>
          <w:bCs/>
          <w:sz w:val="24"/>
          <w:szCs w:val="24"/>
        </w:rPr>
        <w:fldChar w:fldCharType="separate"/>
      </w:r>
      <w:r w:rsidR="00AB7C89" w:rsidRPr="00464C36">
        <w:rPr>
          <w:rFonts w:ascii="Times New Roman" w:hAnsi="Times New Roman" w:cs="Times New Roman"/>
          <w:bCs/>
          <w:sz w:val="24"/>
          <w:szCs w:val="24"/>
        </w:rPr>
        <w:t>(Coyle &amp; Wang, 1998; Wang &amp; Coyle, 2002)</w:t>
      </w:r>
      <w:r w:rsidR="00AB7C89" w:rsidRPr="00464C36">
        <w:rPr>
          <w:rFonts w:ascii="Times New Roman" w:hAnsi="Times New Roman" w:cs="Times New Roman"/>
          <w:bCs/>
          <w:sz w:val="24"/>
          <w:szCs w:val="24"/>
        </w:rPr>
        <w:fldChar w:fldCharType="end"/>
      </w:r>
      <w:r w:rsidR="00D23978" w:rsidRPr="00464C36">
        <w:rPr>
          <w:rFonts w:ascii="Times New Roman" w:hAnsi="Times New Roman" w:cs="Times New Roman"/>
          <w:bCs/>
          <w:sz w:val="24"/>
          <w:szCs w:val="24"/>
        </w:rPr>
        <w:t>.</w:t>
      </w:r>
      <w:r w:rsidR="00A40875">
        <w:rPr>
          <w:rFonts w:ascii="Times New Roman" w:hAnsi="Times New Roman" w:cs="Times New Roman"/>
          <w:bCs/>
          <w:sz w:val="24"/>
          <w:szCs w:val="24"/>
        </w:rPr>
        <w:t xml:space="preserve"> </w:t>
      </w:r>
      <w:bookmarkStart w:id="13" w:name="_Toc516749409"/>
    </w:p>
    <w:p w:rsidR="00630441" w:rsidRDefault="00630441" w:rsidP="008E5DF3">
      <w:pPr>
        <w:spacing w:after="120" w:line="360" w:lineRule="auto"/>
        <w:ind w:right="360"/>
        <w:jc w:val="both"/>
        <w:rPr>
          <w:rFonts w:ascii="Times New Roman" w:hAnsi="Times New Roman" w:cs="Times New Roman"/>
          <w:bCs/>
          <w:sz w:val="24"/>
          <w:szCs w:val="24"/>
        </w:rPr>
      </w:pPr>
    </w:p>
    <w:p w:rsidR="00B33B41" w:rsidRPr="00825D96" w:rsidRDefault="00D51060" w:rsidP="009A4388">
      <w:pPr>
        <w:spacing w:after="0" w:line="360" w:lineRule="auto"/>
        <w:ind w:right="360"/>
        <w:jc w:val="both"/>
        <w:rPr>
          <w:rFonts w:asciiTheme="majorBidi" w:eastAsiaTheme="majorEastAsia" w:hAnsiTheme="majorBidi" w:cstheme="majorBidi"/>
          <w:b/>
          <w:bCs/>
          <w:i/>
          <w:iCs/>
          <w:color w:val="365F91" w:themeColor="accent1" w:themeShade="BF"/>
          <w:sz w:val="24"/>
          <w:szCs w:val="24"/>
        </w:rPr>
      </w:pPr>
      <w:r>
        <w:rPr>
          <w:rFonts w:asciiTheme="majorBidi" w:eastAsiaTheme="majorEastAsia" w:hAnsiTheme="majorBidi" w:cstheme="majorBidi"/>
          <w:b/>
          <w:bCs/>
          <w:i/>
          <w:iCs/>
          <w:color w:val="365F91" w:themeColor="accent1" w:themeShade="BF"/>
          <w:sz w:val="24"/>
          <w:szCs w:val="24"/>
        </w:rPr>
        <w:t xml:space="preserve">VIII </w:t>
      </w:r>
      <w:r w:rsidR="00BC4AA0">
        <w:rPr>
          <w:rFonts w:asciiTheme="majorBidi" w:eastAsiaTheme="majorEastAsia" w:hAnsiTheme="majorBidi" w:cstheme="majorBidi"/>
          <w:b/>
          <w:bCs/>
          <w:i/>
          <w:iCs/>
          <w:color w:val="365F91" w:themeColor="accent1" w:themeShade="BF"/>
          <w:sz w:val="24"/>
          <w:szCs w:val="24"/>
        </w:rPr>
        <w:tab/>
      </w:r>
      <w:r>
        <w:rPr>
          <w:rFonts w:asciiTheme="majorBidi" w:eastAsiaTheme="majorEastAsia" w:hAnsiTheme="majorBidi" w:cstheme="majorBidi"/>
          <w:b/>
          <w:bCs/>
          <w:i/>
          <w:iCs/>
          <w:color w:val="365F91" w:themeColor="accent1" w:themeShade="BF"/>
          <w:sz w:val="24"/>
          <w:szCs w:val="24"/>
        </w:rPr>
        <w:t>Oman</w:t>
      </w:r>
      <w:r w:rsidR="00B33B41" w:rsidRPr="00825D96">
        <w:rPr>
          <w:rFonts w:asciiTheme="majorBidi" w:eastAsiaTheme="majorEastAsia" w:hAnsiTheme="majorBidi" w:cstheme="majorBidi"/>
          <w:b/>
          <w:bCs/>
          <w:i/>
          <w:iCs/>
          <w:color w:val="365F91" w:themeColor="accent1" w:themeShade="BF"/>
          <w:sz w:val="24"/>
          <w:szCs w:val="24"/>
        </w:rPr>
        <w:t xml:space="preserve"> Export Potential with IORA</w:t>
      </w:r>
      <w:bookmarkEnd w:id="13"/>
    </w:p>
    <w:p w:rsidR="00B33B41" w:rsidRPr="00B2592D" w:rsidRDefault="00B33B41" w:rsidP="008E5DF3">
      <w:pPr>
        <w:spacing w:after="0" w:line="360" w:lineRule="auto"/>
        <w:ind w:right="360"/>
        <w:jc w:val="both"/>
        <w:rPr>
          <w:rFonts w:ascii="Times New Roman" w:hAnsi="Times New Roman" w:cs="Times New Roman"/>
          <w:bCs/>
          <w:sz w:val="24"/>
          <w:szCs w:val="24"/>
        </w:rPr>
      </w:pPr>
      <w:r>
        <w:rPr>
          <w:rFonts w:ascii="Times New Roman" w:hAnsi="Times New Roman" w:cs="Times New Roman"/>
          <w:bCs/>
          <w:sz w:val="24"/>
          <w:szCs w:val="24"/>
        </w:rPr>
        <w:t xml:space="preserve">The results obtained from the structural gravity model was used in estimating Oman export potential to the IORA countries. An export potential </w:t>
      </w:r>
      <m:oMath>
        <m:r>
          <w:rPr>
            <w:rFonts w:ascii="Cambria Math" w:hAnsi="Cambria Math" w:cs="Times New Roman"/>
            <w:sz w:val="24"/>
            <w:szCs w:val="24"/>
          </w:rPr>
          <m:t xml:space="preserve"> </m:t>
        </m:r>
      </m:oMath>
      <w:r>
        <w:rPr>
          <w:rFonts w:ascii="Times New Roman" w:eastAsiaTheme="minorEastAsia" w:hAnsi="Times New Roman" w:cs="Times New Roman"/>
          <w:sz w:val="24"/>
          <w:szCs w:val="24"/>
        </w:rPr>
        <w:t>ratio less than one indicates that there is a potential of export expansion with such trading partners while a ratio greater than one means Oman has over traded with such countries</w:t>
      </w:r>
      <w:r w:rsidRPr="002801A7">
        <w:rPr>
          <w:rFonts w:ascii="Times New Roman" w:hAnsi="Times New Roman" w:cs="Times New Roman"/>
          <w:bCs/>
          <w:sz w:val="24"/>
          <w:szCs w:val="24"/>
        </w:rPr>
        <w:t>.</w:t>
      </w:r>
      <w:r>
        <w:rPr>
          <w:rFonts w:ascii="Times New Roman" w:hAnsi="Times New Roman" w:cs="Times New Roman"/>
          <w:bCs/>
          <w:sz w:val="24"/>
          <w:szCs w:val="24"/>
        </w:rPr>
        <w:t xml:space="preserve">  Comparing across year 2007-2015, the results [Table</w:t>
      </w:r>
      <w:r w:rsidR="00D8057B">
        <w:rPr>
          <w:rFonts w:ascii="Times New Roman" w:hAnsi="Times New Roman" w:cs="Times New Roman"/>
          <w:bCs/>
          <w:sz w:val="24"/>
          <w:szCs w:val="24"/>
        </w:rPr>
        <w:t xml:space="preserve"> </w:t>
      </w:r>
      <w:r w:rsidR="00BC4AA0">
        <w:rPr>
          <w:rFonts w:ascii="Times New Roman" w:hAnsi="Times New Roman" w:cs="Times New Roman"/>
          <w:bCs/>
          <w:sz w:val="24"/>
          <w:szCs w:val="24"/>
        </w:rPr>
        <w:t>3</w:t>
      </w:r>
      <w:r>
        <w:rPr>
          <w:rFonts w:ascii="Times New Roman" w:hAnsi="Times New Roman" w:cs="Times New Roman"/>
          <w:bCs/>
          <w:sz w:val="24"/>
          <w:szCs w:val="24"/>
        </w:rPr>
        <w:t xml:space="preserve">] show that Oman has maximum export potential with Australia, India, Indonesia, </w:t>
      </w:r>
      <w:r w:rsidRPr="00D2006A">
        <w:rPr>
          <w:rFonts w:ascii="Times New Roman" w:hAnsi="Times New Roman" w:cs="Times New Roman"/>
          <w:bCs/>
          <w:sz w:val="24"/>
          <w:szCs w:val="24"/>
        </w:rPr>
        <w:t>Madagascar</w:t>
      </w:r>
      <w:r>
        <w:rPr>
          <w:rFonts w:ascii="Times New Roman" w:hAnsi="Times New Roman" w:cs="Times New Roman"/>
          <w:bCs/>
          <w:sz w:val="24"/>
          <w:szCs w:val="24"/>
        </w:rPr>
        <w:t xml:space="preserve">, </w:t>
      </w:r>
      <w:r w:rsidRPr="00D2006A">
        <w:rPr>
          <w:rFonts w:ascii="Times New Roman" w:hAnsi="Times New Roman" w:cs="Times New Roman"/>
          <w:bCs/>
          <w:sz w:val="24"/>
          <w:szCs w:val="24"/>
        </w:rPr>
        <w:t>Malaysia</w:t>
      </w:r>
      <w:r>
        <w:rPr>
          <w:rFonts w:ascii="Times New Roman" w:hAnsi="Times New Roman" w:cs="Times New Roman"/>
          <w:bCs/>
          <w:sz w:val="24"/>
          <w:szCs w:val="24"/>
        </w:rPr>
        <w:t xml:space="preserve">, </w:t>
      </w:r>
      <w:r w:rsidRPr="00D2006A">
        <w:rPr>
          <w:rFonts w:ascii="Times New Roman" w:hAnsi="Times New Roman" w:cs="Times New Roman"/>
          <w:bCs/>
          <w:sz w:val="24"/>
          <w:szCs w:val="24"/>
        </w:rPr>
        <w:t>Mauritius</w:t>
      </w:r>
      <w:r>
        <w:rPr>
          <w:rFonts w:ascii="Times New Roman" w:hAnsi="Times New Roman" w:cs="Times New Roman"/>
          <w:bCs/>
          <w:sz w:val="24"/>
          <w:szCs w:val="24"/>
        </w:rPr>
        <w:t xml:space="preserve"> and SriL</w:t>
      </w:r>
      <w:r w:rsidRPr="00D2006A">
        <w:rPr>
          <w:rFonts w:ascii="Times New Roman" w:hAnsi="Times New Roman" w:cs="Times New Roman"/>
          <w:bCs/>
          <w:sz w:val="24"/>
          <w:szCs w:val="24"/>
        </w:rPr>
        <w:t>anka</w:t>
      </w:r>
      <w:r>
        <w:rPr>
          <w:rFonts w:ascii="Times New Roman" w:hAnsi="Times New Roman" w:cs="Times New Roman"/>
          <w:bCs/>
          <w:sz w:val="24"/>
          <w:szCs w:val="24"/>
        </w:rPr>
        <w:t xml:space="preserve">. The 2015 export potential shows that Oman can still expand it total product export to </w:t>
      </w:r>
      <w:r w:rsidRPr="005B725F">
        <w:rPr>
          <w:rFonts w:ascii="Times New Roman" w:hAnsi="Times New Roman" w:cs="Times New Roman"/>
          <w:bCs/>
          <w:sz w:val="24"/>
          <w:szCs w:val="24"/>
        </w:rPr>
        <w:t>Australia</w:t>
      </w:r>
      <w:r>
        <w:rPr>
          <w:rFonts w:ascii="Times New Roman" w:hAnsi="Times New Roman" w:cs="Times New Roman"/>
          <w:bCs/>
          <w:sz w:val="24"/>
          <w:szCs w:val="24"/>
        </w:rPr>
        <w:t xml:space="preserve">, </w:t>
      </w:r>
      <w:r w:rsidRPr="005B725F">
        <w:rPr>
          <w:rFonts w:ascii="Times New Roman" w:hAnsi="Times New Roman" w:cs="Times New Roman"/>
          <w:bCs/>
          <w:sz w:val="24"/>
          <w:szCs w:val="24"/>
        </w:rPr>
        <w:t>Bangladesh</w:t>
      </w:r>
      <w:r>
        <w:rPr>
          <w:rFonts w:ascii="Times New Roman" w:hAnsi="Times New Roman" w:cs="Times New Roman"/>
          <w:bCs/>
          <w:sz w:val="24"/>
          <w:szCs w:val="24"/>
        </w:rPr>
        <w:t xml:space="preserve">, </w:t>
      </w:r>
      <w:r w:rsidRPr="005B725F">
        <w:rPr>
          <w:rFonts w:ascii="Times New Roman" w:hAnsi="Times New Roman" w:cs="Times New Roman"/>
          <w:bCs/>
          <w:sz w:val="24"/>
          <w:szCs w:val="24"/>
        </w:rPr>
        <w:t>India</w:t>
      </w:r>
      <w:r>
        <w:rPr>
          <w:rFonts w:ascii="Times New Roman" w:hAnsi="Times New Roman" w:cs="Times New Roman"/>
          <w:bCs/>
          <w:sz w:val="24"/>
          <w:szCs w:val="24"/>
        </w:rPr>
        <w:t xml:space="preserve">, </w:t>
      </w:r>
      <w:r w:rsidRPr="005B725F">
        <w:rPr>
          <w:rFonts w:ascii="Times New Roman" w:hAnsi="Times New Roman" w:cs="Times New Roman"/>
          <w:bCs/>
          <w:sz w:val="24"/>
          <w:szCs w:val="24"/>
        </w:rPr>
        <w:t>Indonesia</w:t>
      </w:r>
      <w:r>
        <w:rPr>
          <w:rFonts w:ascii="Times New Roman" w:hAnsi="Times New Roman" w:cs="Times New Roman"/>
          <w:bCs/>
          <w:sz w:val="24"/>
          <w:szCs w:val="24"/>
        </w:rPr>
        <w:t xml:space="preserve">, </w:t>
      </w:r>
      <w:r w:rsidRPr="005B725F">
        <w:rPr>
          <w:rFonts w:ascii="Times New Roman" w:hAnsi="Times New Roman" w:cs="Times New Roman"/>
          <w:bCs/>
          <w:sz w:val="24"/>
          <w:szCs w:val="24"/>
        </w:rPr>
        <w:t>Iran</w:t>
      </w:r>
      <w:r>
        <w:rPr>
          <w:rFonts w:ascii="Times New Roman" w:hAnsi="Times New Roman" w:cs="Times New Roman"/>
          <w:bCs/>
          <w:sz w:val="24"/>
          <w:szCs w:val="24"/>
        </w:rPr>
        <w:t xml:space="preserve">, </w:t>
      </w:r>
      <w:r w:rsidRPr="005B725F">
        <w:rPr>
          <w:rFonts w:ascii="Times New Roman" w:hAnsi="Times New Roman" w:cs="Times New Roman"/>
          <w:bCs/>
          <w:sz w:val="24"/>
          <w:szCs w:val="24"/>
        </w:rPr>
        <w:t>Kenya</w:t>
      </w:r>
      <w:r>
        <w:rPr>
          <w:rFonts w:ascii="Times New Roman" w:hAnsi="Times New Roman" w:cs="Times New Roman"/>
          <w:bCs/>
          <w:sz w:val="24"/>
          <w:szCs w:val="24"/>
        </w:rPr>
        <w:t xml:space="preserve">, </w:t>
      </w:r>
      <w:r w:rsidRPr="005B725F">
        <w:rPr>
          <w:rFonts w:ascii="Times New Roman" w:hAnsi="Times New Roman" w:cs="Times New Roman"/>
          <w:bCs/>
          <w:sz w:val="24"/>
          <w:szCs w:val="24"/>
        </w:rPr>
        <w:t>Madagascar</w:t>
      </w:r>
      <w:r>
        <w:rPr>
          <w:rFonts w:ascii="Times New Roman" w:hAnsi="Times New Roman" w:cs="Times New Roman"/>
          <w:bCs/>
          <w:sz w:val="24"/>
          <w:szCs w:val="24"/>
        </w:rPr>
        <w:t xml:space="preserve">, </w:t>
      </w:r>
      <w:r w:rsidRPr="005B725F">
        <w:rPr>
          <w:rFonts w:ascii="Times New Roman" w:hAnsi="Times New Roman" w:cs="Times New Roman"/>
          <w:bCs/>
          <w:sz w:val="24"/>
          <w:szCs w:val="24"/>
        </w:rPr>
        <w:t>Malaysia</w:t>
      </w:r>
      <w:r>
        <w:rPr>
          <w:rFonts w:ascii="Times New Roman" w:hAnsi="Times New Roman" w:cs="Times New Roman"/>
          <w:bCs/>
          <w:sz w:val="24"/>
          <w:szCs w:val="24"/>
        </w:rPr>
        <w:t xml:space="preserve">, </w:t>
      </w:r>
      <w:r w:rsidRPr="005B725F">
        <w:rPr>
          <w:rFonts w:ascii="Times New Roman" w:hAnsi="Times New Roman" w:cs="Times New Roman"/>
          <w:bCs/>
          <w:sz w:val="24"/>
          <w:szCs w:val="24"/>
        </w:rPr>
        <w:t>Mauritius</w:t>
      </w:r>
      <w:r>
        <w:rPr>
          <w:rFonts w:ascii="Times New Roman" w:hAnsi="Times New Roman" w:cs="Times New Roman"/>
          <w:bCs/>
          <w:sz w:val="24"/>
          <w:szCs w:val="24"/>
        </w:rPr>
        <w:t>, SriL</w:t>
      </w:r>
      <w:r w:rsidRPr="00D2006A">
        <w:rPr>
          <w:rFonts w:ascii="Times New Roman" w:hAnsi="Times New Roman" w:cs="Times New Roman"/>
          <w:bCs/>
          <w:sz w:val="24"/>
          <w:szCs w:val="24"/>
        </w:rPr>
        <w:t>anka</w:t>
      </w:r>
      <w:r>
        <w:rPr>
          <w:rFonts w:ascii="Times New Roman" w:hAnsi="Times New Roman" w:cs="Times New Roman"/>
          <w:bCs/>
          <w:sz w:val="24"/>
          <w:szCs w:val="24"/>
        </w:rPr>
        <w:t xml:space="preserve">, </w:t>
      </w:r>
      <w:r w:rsidRPr="005B725F">
        <w:rPr>
          <w:rFonts w:ascii="Times New Roman" w:hAnsi="Times New Roman" w:cs="Times New Roman"/>
          <w:bCs/>
          <w:sz w:val="24"/>
          <w:szCs w:val="24"/>
        </w:rPr>
        <w:t>Tanzania</w:t>
      </w:r>
      <w:r w:rsidR="00A40875">
        <w:rPr>
          <w:rFonts w:ascii="Times New Roman" w:hAnsi="Times New Roman" w:cs="Times New Roman"/>
          <w:bCs/>
          <w:sz w:val="24"/>
          <w:szCs w:val="24"/>
        </w:rPr>
        <w:t>.</w:t>
      </w:r>
    </w:p>
    <w:p w:rsidR="00B33B41" w:rsidRPr="00843058" w:rsidRDefault="00D51060" w:rsidP="00A4498E">
      <w:pPr>
        <w:pStyle w:val="Heading1"/>
        <w:spacing w:after="240"/>
        <w:rPr>
          <w:rFonts w:asciiTheme="majorBidi" w:hAnsiTheme="majorBidi"/>
          <w:b/>
          <w:bCs/>
          <w:i/>
          <w:iCs/>
          <w:sz w:val="24"/>
          <w:szCs w:val="24"/>
        </w:rPr>
      </w:pPr>
      <w:bookmarkStart w:id="14" w:name="_Toc516749411"/>
      <w:r>
        <w:rPr>
          <w:rFonts w:asciiTheme="majorBidi" w:hAnsiTheme="majorBidi"/>
          <w:b/>
          <w:bCs/>
          <w:i/>
          <w:iCs/>
          <w:sz w:val="24"/>
          <w:szCs w:val="24"/>
        </w:rPr>
        <w:t>IX</w:t>
      </w:r>
      <w:r w:rsidR="00843058">
        <w:rPr>
          <w:rFonts w:asciiTheme="majorBidi" w:hAnsiTheme="majorBidi"/>
          <w:b/>
          <w:bCs/>
          <w:i/>
          <w:iCs/>
          <w:sz w:val="24"/>
          <w:szCs w:val="24"/>
        </w:rPr>
        <w:tab/>
      </w:r>
      <w:r w:rsidR="00F74817" w:rsidRPr="00843058">
        <w:rPr>
          <w:rFonts w:asciiTheme="majorBidi" w:hAnsiTheme="majorBidi"/>
          <w:b/>
          <w:bCs/>
          <w:i/>
          <w:iCs/>
          <w:sz w:val="24"/>
          <w:szCs w:val="24"/>
        </w:rPr>
        <w:t>Conclusion</w:t>
      </w:r>
      <w:r w:rsidR="00B33B41" w:rsidRPr="00843058">
        <w:rPr>
          <w:rFonts w:asciiTheme="majorBidi" w:hAnsiTheme="majorBidi"/>
          <w:b/>
          <w:bCs/>
          <w:i/>
          <w:iCs/>
          <w:sz w:val="24"/>
          <w:szCs w:val="24"/>
        </w:rPr>
        <w:t xml:space="preserve"> </w:t>
      </w:r>
      <w:bookmarkEnd w:id="14"/>
    </w:p>
    <w:p w:rsidR="008E5DF3" w:rsidRPr="005E5128" w:rsidRDefault="00B33B41" w:rsidP="00BD0E04">
      <w:pPr>
        <w:spacing w:after="120" w:line="360" w:lineRule="auto"/>
        <w:ind w:right="360"/>
        <w:jc w:val="both"/>
        <w:rPr>
          <w:rFonts w:ascii="Times New Roman" w:hAnsi="Times New Roman" w:cs="Times New Roman"/>
          <w:sz w:val="24"/>
          <w:szCs w:val="24"/>
        </w:rPr>
      </w:pPr>
      <w:r>
        <w:rPr>
          <w:rFonts w:ascii="Times New Roman" w:hAnsi="Times New Roman" w:cs="Times New Roman"/>
          <w:sz w:val="24"/>
          <w:szCs w:val="24"/>
        </w:rPr>
        <w:t xml:space="preserve">The Indian Ocean has always been a trade nexus connecting </w:t>
      </w:r>
      <w:r w:rsidRPr="00560772">
        <w:rPr>
          <w:rFonts w:ascii="Times New Roman" w:hAnsi="Times New Roman" w:cs="Times New Roman"/>
          <w:sz w:val="24"/>
          <w:szCs w:val="24"/>
        </w:rPr>
        <w:t>A</w:t>
      </w:r>
      <w:r>
        <w:rPr>
          <w:rFonts w:ascii="Times New Roman" w:hAnsi="Times New Roman" w:cs="Times New Roman"/>
          <w:sz w:val="24"/>
          <w:szCs w:val="24"/>
        </w:rPr>
        <w:t>sia, the Middle East and Africa and it</w:t>
      </w:r>
      <w:r w:rsidR="00D51060">
        <w:rPr>
          <w:rFonts w:ascii="Times New Roman" w:hAnsi="Times New Roman" w:cs="Times New Roman"/>
          <w:sz w:val="24"/>
          <w:szCs w:val="24"/>
        </w:rPr>
        <w:t>s</w:t>
      </w:r>
      <w:r>
        <w:rPr>
          <w:rFonts w:ascii="Times New Roman" w:hAnsi="Times New Roman" w:cs="Times New Roman"/>
          <w:sz w:val="24"/>
          <w:szCs w:val="24"/>
        </w:rPr>
        <w:t xml:space="preserve"> importance to world trade has continued to </w:t>
      </w:r>
      <w:r w:rsidR="00DD52C1">
        <w:rPr>
          <w:rFonts w:ascii="Times New Roman" w:hAnsi="Times New Roman" w:cs="Times New Roman"/>
          <w:sz w:val="24"/>
          <w:szCs w:val="24"/>
        </w:rPr>
        <w:t>increase</w:t>
      </w:r>
      <w:r>
        <w:rPr>
          <w:rFonts w:ascii="Times New Roman" w:hAnsi="Times New Roman" w:cs="Times New Roman"/>
          <w:sz w:val="24"/>
          <w:szCs w:val="24"/>
        </w:rPr>
        <w:t xml:space="preserve">. It is expected that the region’s economic growth and productivity will rise capitalizing on its relative large population, growing markets and strategic location. Although there is no formal regional trading arrangement, the Indian Ocean Rim Association (IORA) as witnessed in the past decade </w:t>
      </w:r>
      <w:r w:rsidR="00DD52C1">
        <w:rPr>
          <w:rFonts w:ascii="Times New Roman" w:hAnsi="Times New Roman" w:cs="Times New Roman"/>
          <w:sz w:val="24"/>
          <w:szCs w:val="24"/>
        </w:rPr>
        <w:t xml:space="preserve">is </w:t>
      </w:r>
      <w:r>
        <w:rPr>
          <w:rFonts w:ascii="Times New Roman" w:hAnsi="Times New Roman" w:cs="Times New Roman"/>
          <w:sz w:val="24"/>
          <w:szCs w:val="24"/>
        </w:rPr>
        <w:t>deep</w:t>
      </w:r>
      <w:r w:rsidR="00DD52C1">
        <w:rPr>
          <w:rFonts w:ascii="Times New Roman" w:hAnsi="Times New Roman" w:cs="Times New Roman"/>
          <w:sz w:val="24"/>
          <w:szCs w:val="24"/>
        </w:rPr>
        <w:t>ly</w:t>
      </w:r>
      <w:r>
        <w:rPr>
          <w:rFonts w:ascii="Times New Roman" w:hAnsi="Times New Roman" w:cs="Times New Roman"/>
          <w:sz w:val="24"/>
          <w:szCs w:val="24"/>
        </w:rPr>
        <w:t xml:space="preserve"> </w:t>
      </w:r>
      <w:r w:rsidR="00DD52C1">
        <w:rPr>
          <w:rFonts w:ascii="Times New Roman" w:hAnsi="Times New Roman" w:cs="Times New Roman"/>
          <w:sz w:val="24"/>
          <w:szCs w:val="24"/>
        </w:rPr>
        <w:t xml:space="preserve">committted </w:t>
      </w:r>
      <w:r>
        <w:rPr>
          <w:rFonts w:ascii="Times New Roman" w:hAnsi="Times New Roman" w:cs="Times New Roman"/>
          <w:sz w:val="24"/>
          <w:szCs w:val="24"/>
        </w:rPr>
        <w:t xml:space="preserve">to foster the region economic development through trade and investment. </w:t>
      </w:r>
      <w:r>
        <w:rPr>
          <w:rFonts w:ascii="Times New Roman" w:hAnsi="Times New Roman" w:cs="Times New Roman"/>
          <w:color w:val="000000" w:themeColor="text1"/>
          <w:sz w:val="24"/>
          <w:szCs w:val="24"/>
        </w:rPr>
        <w:t>Oman has historically entertained a strong economic and trade linkage with the</w:t>
      </w:r>
      <w:r w:rsidRPr="003113A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Indian Ocean and have made significant contribution to the formation of IORA and the development of the region has a whole.</w:t>
      </w:r>
      <w:r>
        <w:rPr>
          <w:rFonts w:ascii="Times New Roman" w:hAnsi="Times New Roman" w:cs="Times New Roman"/>
          <w:sz w:val="24"/>
          <w:szCs w:val="24"/>
        </w:rPr>
        <w:t xml:space="preserve"> The descriptive analysis of this study has shown that </w:t>
      </w:r>
      <w:r w:rsidRPr="005E5128">
        <w:rPr>
          <w:rFonts w:ascii="Times New Roman" w:hAnsi="Times New Roman" w:cs="Times New Roman"/>
          <w:sz w:val="24"/>
          <w:szCs w:val="24"/>
        </w:rPr>
        <w:t>Oman export within the period under review witnessed a more intense upward trend towards the Indian Ocea</w:t>
      </w:r>
      <w:r w:rsidR="008E5DF3" w:rsidRPr="005E5128">
        <w:rPr>
          <w:rFonts w:ascii="Times New Roman" w:hAnsi="Times New Roman" w:cs="Times New Roman"/>
          <w:sz w:val="24"/>
          <w:szCs w:val="24"/>
        </w:rPr>
        <w:t>n as compared to GCC and GAFTA.</w:t>
      </w:r>
    </w:p>
    <w:p w:rsidR="00B33B41" w:rsidRDefault="00B33B41" w:rsidP="001059D0">
      <w:pPr>
        <w:spacing w:line="360" w:lineRule="auto"/>
        <w:ind w:right="360"/>
        <w:jc w:val="both"/>
        <w:rPr>
          <w:rFonts w:ascii="Times New Roman" w:hAnsi="Times New Roman" w:cs="Times New Roman"/>
          <w:sz w:val="24"/>
          <w:szCs w:val="24"/>
        </w:rPr>
      </w:pPr>
      <w:r w:rsidRPr="005E5128">
        <w:rPr>
          <w:rFonts w:ascii="Times New Roman" w:hAnsi="Times New Roman" w:cs="Times New Roman"/>
          <w:sz w:val="24"/>
          <w:szCs w:val="24"/>
        </w:rPr>
        <w:t>The gravity model results support the fact that level of income, population, geographical proximity and historical linkages are important in explaining bilateral trade flows in IORA.</w:t>
      </w:r>
      <w:r>
        <w:rPr>
          <w:rFonts w:ascii="Times New Roman" w:hAnsi="Times New Roman" w:cs="Times New Roman"/>
          <w:sz w:val="24"/>
          <w:szCs w:val="24"/>
        </w:rPr>
        <w:t xml:space="preserve"> The level of income of both exporter and importer increases </w:t>
      </w:r>
      <w:r>
        <w:rPr>
          <w:rFonts w:ascii="Times New Roman" w:hAnsi="Times New Roman" w:cs="Times New Roman"/>
          <w:sz w:val="24"/>
          <w:szCs w:val="24"/>
        </w:rPr>
        <w:lastRenderedPageBreak/>
        <w:t xml:space="preserve">with the level of income. The higher income elasticity of the importer shows that there is a large market base for exports to the region. The absorption effect exhibited by the exporter for total products can be explained by the fast growing economies and population in the region, which increases domestic consumption and reduces exported surplus. The results also indicate that proximity is </w:t>
      </w:r>
      <w:r w:rsidR="00A40875">
        <w:rPr>
          <w:rFonts w:ascii="Times New Roman" w:hAnsi="Times New Roman" w:cs="Times New Roman"/>
          <w:sz w:val="24"/>
          <w:szCs w:val="24"/>
        </w:rPr>
        <w:t xml:space="preserve">quite  </w:t>
      </w:r>
      <w:r>
        <w:rPr>
          <w:rFonts w:ascii="Times New Roman" w:hAnsi="Times New Roman" w:cs="Times New Roman"/>
          <w:sz w:val="24"/>
          <w:szCs w:val="24"/>
        </w:rPr>
        <w:t xml:space="preserve">restrictive for </w:t>
      </w:r>
      <w:r w:rsidR="00A40875">
        <w:rPr>
          <w:rFonts w:ascii="Times New Roman" w:hAnsi="Times New Roman" w:cs="Times New Roman"/>
          <w:sz w:val="24"/>
          <w:szCs w:val="24"/>
        </w:rPr>
        <w:t>bilateral exports</w:t>
      </w:r>
      <w:r w:rsidRPr="005E5128">
        <w:rPr>
          <w:rFonts w:ascii="Times New Roman" w:hAnsi="Times New Roman" w:cs="Times New Roman"/>
          <w:sz w:val="24"/>
          <w:szCs w:val="24"/>
        </w:rPr>
        <w:t xml:space="preserve">. A consolidated development of the regional maritime transportation system and custom regulations across borders might help reduce the cost of trading. </w:t>
      </w:r>
      <w:r w:rsidR="00760BCF" w:rsidRPr="005E5128">
        <w:rPr>
          <w:rFonts w:ascii="Times New Roman" w:hAnsi="Times New Roman" w:cs="Times New Roman"/>
          <w:sz w:val="24"/>
          <w:szCs w:val="24"/>
        </w:rPr>
        <w:t>It</w:t>
      </w:r>
      <w:r w:rsidR="00760BCF">
        <w:rPr>
          <w:rFonts w:ascii="Times New Roman" w:hAnsi="Times New Roman" w:cs="Times New Roman"/>
          <w:sz w:val="24"/>
          <w:szCs w:val="24"/>
        </w:rPr>
        <w:t xml:space="preserve"> is also observed</w:t>
      </w:r>
      <w:r w:rsidR="005E5128">
        <w:rPr>
          <w:rFonts w:ascii="Times New Roman" w:hAnsi="Times New Roman" w:cs="Times New Roman"/>
          <w:sz w:val="24"/>
          <w:szCs w:val="24"/>
        </w:rPr>
        <w:t xml:space="preserve"> </w:t>
      </w:r>
      <w:r>
        <w:rPr>
          <w:rFonts w:ascii="Times New Roman" w:hAnsi="Times New Roman" w:cs="Times New Roman"/>
          <w:sz w:val="24"/>
          <w:szCs w:val="24"/>
        </w:rPr>
        <w:t>that sharing of a common language and colonial ties translate</w:t>
      </w:r>
      <w:r w:rsidR="00DD52C1">
        <w:rPr>
          <w:rFonts w:ascii="Times New Roman" w:hAnsi="Times New Roman" w:cs="Times New Roman"/>
          <w:sz w:val="24"/>
          <w:szCs w:val="24"/>
        </w:rPr>
        <w:t>s</w:t>
      </w:r>
      <w:r>
        <w:rPr>
          <w:rFonts w:ascii="Times New Roman" w:hAnsi="Times New Roman" w:cs="Times New Roman"/>
          <w:sz w:val="24"/>
          <w:szCs w:val="24"/>
        </w:rPr>
        <w:t xml:space="preserve"> into increasing levels of trade in the IORA region.</w:t>
      </w:r>
    </w:p>
    <w:p w:rsidR="00B33B41" w:rsidRDefault="00B33B41" w:rsidP="00B33B41">
      <w:pPr>
        <w:spacing w:line="360" w:lineRule="auto"/>
        <w:ind w:right="360"/>
        <w:jc w:val="both"/>
        <w:rPr>
          <w:rFonts w:ascii="Times New Roman" w:hAnsi="Times New Roman" w:cs="Times New Roman"/>
          <w:sz w:val="24"/>
          <w:szCs w:val="24"/>
        </w:rPr>
      </w:pPr>
      <w:r w:rsidRPr="005E5128">
        <w:rPr>
          <w:rFonts w:ascii="Times New Roman" w:hAnsi="Times New Roman" w:cs="Times New Roman"/>
          <w:sz w:val="24"/>
          <w:szCs w:val="24"/>
        </w:rPr>
        <w:t xml:space="preserve">IORA is well integrated into world trade and </w:t>
      </w:r>
      <w:r w:rsidR="00DD52C1" w:rsidRPr="005E5128">
        <w:rPr>
          <w:rFonts w:ascii="Times New Roman" w:hAnsi="Times New Roman" w:cs="Times New Roman"/>
          <w:sz w:val="24"/>
          <w:szCs w:val="24"/>
        </w:rPr>
        <w:t xml:space="preserve">its formation </w:t>
      </w:r>
      <w:r w:rsidRPr="005E5128">
        <w:rPr>
          <w:rFonts w:ascii="Times New Roman" w:hAnsi="Times New Roman" w:cs="Times New Roman"/>
          <w:sz w:val="24"/>
          <w:szCs w:val="24"/>
        </w:rPr>
        <w:t>has resulted in trade creation rather than trade diversion confirming the open regionalism advocacy of the region. The results indicate that belonging to IORA fosters trade by 55</w:t>
      </w:r>
      <w:r w:rsidRPr="005E5128">
        <w:rPr>
          <w:rFonts w:ascii="Times New Roman" w:hAnsi="Times New Roman" w:cs="Times New Roman"/>
          <w:bCs/>
          <w:sz w:val="24"/>
          <w:szCs w:val="24"/>
        </w:rPr>
        <w:t xml:space="preserve"> percent</w:t>
      </w:r>
      <w:r w:rsidRPr="005E5128">
        <w:rPr>
          <w:rFonts w:ascii="Times New Roman" w:hAnsi="Times New Roman" w:cs="Times New Roman"/>
          <w:sz w:val="24"/>
          <w:szCs w:val="24"/>
        </w:rPr>
        <w:t xml:space="preserve">. In addition, a formal trading arrangement is expected to give </w:t>
      </w:r>
      <w:r w:rsidR="00A74FCD" w:rsidRPr="005E5128">
        <w:rPr>
          <w:rFonts w:ascii="Times New Roman" w:hAnsi="Times New Roman" w:cs="Times New Roman"/>
          <w:sz w:val="24"/>
          <w:szCs w:val="24"/>
        </w:rPr>
        <w:t xml:space="preserve">an </w:t>
      </w:r>
      <w:r w:rsidRPr="005E5128">
        <w:rPr>
          <w:rFonts w:ascii="Times New Roman" w:hAnsi="Times New Roman" w:cs="Times New Roman"/>
          <w:bCs/>
          <w:sz w:val="24"/>
          <w:szCs w:val="24"/>
        </w:rPr>
        <w:t>average tariff equivalent (AVE) fall of 10.3 percent.</w:t>
      </w:r>
      <w:r>
        <w:rPr>
          <w:rFonts w:ascii="Times New Roman" w:hAnsi="Times New Roman" w:cs="Times New Roman"/>
          <w:bCs/>
          <w:sz w:val="24"/>
          <w:szCs w:val="24"/>
        </w:rPr>
        <w:t xml:space="preserve"> </w:t>
      </w:r>
      <w:r w:rsidRPr="002D3A0D">
        <w:rPr>
          <w:rFonts w:ascii="Times New Roman" w:hAnsi="Times New Roman" w:cs="Times New Roman"/>
          <w:bCs/>
          <w:sz w:val="24"/>
          <w:szCs w:val="24"/>
        </w:rPr>
        <w:t xml:space="preserve">It can be deduced that </w:t>
      </w:r>
      <w:r w:rsidRPr="002D3A0D">
        <w:rPr>
          <w:rFonts w:ascii="Times New Roman" w:hAnsi="Times New Roman" w:cs="Times New Roman"/>
          <w:sz w:val="24"/>
          <w:szCs w:val="24"/>
        </w:rPr>
        <w:t>formal trade arrangements would further consolidate the benefit Oman and other member states would derive from IORA.</w:t>
      </w:r>
      <w:r>
        <w:rPr>
          <w:rFonts w:ascii="Times New Roman" w:hAnsi="Times New Roman" w:cs="Times New Roman"/>
          <w:sz w:val="24"/>
          <w:szCs w:val="24"/>
        </w:rPr>
        <w:t xml:space="preserve"> Stakeholders in the region need to make consolidated effort in establishing a coherent regional trade policy regime which would explicitly enhance </w:t>
      </w:r>
      <w:r w:rsidRPr="002432CC">
        <w:rPr>
          <w:rFonts w:ascii="Times New Roman" w:hAnsi="Times New Roman" w:cs="Times New Roman"/>
          <w:sz w:val="24"/>
          <w:szCs w:val="24"/>
        </w:rPr>
        <w:t xml:space="preserve">unification and harmonization of the tariff structures </w:t>
      </w:r>
      <w:r>
        <w:rPr>
          <w:rFonts w:ascii="Times New Roman" w:hAnsi="Times New Roman" w:cs="Times New Roman"/>
          <w:sz w:val="24"/>
          <w:szCs w:val="24"/>
        </w:rPr>
        <w:t xml:space="preserve">and reduction of the </w:t>
      </w:r>
      <w:r w:rsidRPr="007F26B5">
        <w:rPr>
          <w:rFonts w:ascii="Times New Roman" w:hAnsi="Times New Roman" w:cs="Times New Roman"/>
          <w:sz w:val="24"/>
          <w:szCs w:val="24"/>
        </w:rPr>
        <w:t>Non-Tariff Barriers (NTBs)</w:t>
      </w:r>
      <w:r>
        <w:rPr>
          <w:rFonts w:ascii="Times New Roman" w:hAnsi="Times New Roman" w:cs="Times New Roman"/>
          <w:sz w:val="24"/>
          <w:szCs w:val="24"/>
        </w:rPr>
        <w:t xml:space="preserve"> prevalent in the region. </w:t>
      </w:r>
    </w:p>
    <w:p w:rsidR="00BD0E04" w:rsidRDefault="00B33B41" w:rsidP="00BD0E04">
      <w:pPr>
        <w:spacing w:after="120" w:line="360" w:lineRule="auto"/>
        <w:ind w:right="360"/>
        <w:jc w:val="both"/>
        <w:rPr>
          <w:rFonts w:ascii="Times New Roman" w:hAnsi="Times New Roman" w:cs="Times New Roman"/>
          <w:bCs/>
          <w:sz w:val="24"/>
          <w:szCs w:val="24"/>
        </w:rPr>
      </w:pPr>
      <w:r>
        <w:rPr>
          <w:rFonts w:ascii="Times New Roman" w:hAnsi="Times New Roman" w:cs="Times New Roman"/>
          <w:sz w:val="24"/>
          <w:szCs w:val="24"/>
        </w:rPr>
        <w:t xml:space="preserve">Furthermore, calculation on the basis of the gravity model results indicate that Oman has a significant export potential in the region. Oman still has unexploited export potentials with </w:t>
      </w:r>
      <w:r>
        <w:rPr>
          <w:rFonts w:ascii="Times New Roman" w:hAnsi="Times New Roman" w:cs="Times New Roman"/>
          <w:bCs/>
          <w:sz w:val="24"/>
          <w:szCs w:val="24"/>
        </w:rPr>
        <w:t xml:space="preserve">Australia, India, Indonesia, </w:t>
      </w:r>
      <w:r w:rsidRPr="00D2006A">
        <w:rPr>
          <w:rFonts w:ascii="Times New Roman" w:hAnsi="Times New Roman" w:cs="Times New Roman"/>
          <w:bCs/>
          <w:sz w:val="24"/>
          <w:szCs w:val="24"/>
        </w:rPr>
        <w:t>Madagascar</w:t>
      </w:r>
      <w:r>
        <w:rPr>
          <w:rFonts w:ascii="Times New Roman" w:hAnsi="Times New Roman" w:cs="Times New Roman"/>
          <w:bCs/>
          <w:sz w:val="24"/>
          <w:szCs w:val="24"/>
        </w:rPr>
        <w:t xml:space="preserve">, </w:t>
      </w:r>
      <w:r w:rsidRPr="00D2006A">
        <w:rPr>
          <w:rFonts w:ascii="Times New Roman" w:hAnsi="Times New Roman" w:cs="Times New Roman"/>
          <w:bCs/>
          <w:sz w:val="24"/>
          <w:szCs w:val="24"/>
        </w:rPr>
        <w:t>Malaysia</w:t>
      </w:r>
      <w:r>
        <w:rPr>
          <w:rFonts w:ascii="Times New Roman" w:hAnsi="Times New Roman" w:cs="Times New Roman"/>
          <w:bCs/>
          <w:sz w:val="24"/>
          <w:szCs w:val="24"/>
        </w:rPr>
        <w:t xml:space="preserve">, </w:t>
      </w:r>
      <w:r w:rsidRPr="00D2006A">
        <w:rPr>
          <w:rFonts w:ascii="Times New Roman" w:hAnsi="Times New Roman" w:cs="Times New Roman"/>
          <w:bCs/>
          <w:sz w:val="24"/>
          <w:szCs w:val="24"/>
        </w:rPr>
        <w:t>Mauritius</w:t>
      </w:r>
      <w:r>
        <w:rPr>
          <w:rFonts w:ascii="Times New Roman" w:hAnsi="Times New Roman" w:cs="Times New Roman"/>
          <w:bCs/>
          <w:sz w:val="24"/>
          <w:szCs w:val="24"/>
        </w:rPr>
        <w:t xml:space="preserve"> and SriL</w:t>
      </w:r>
      <w:r w:rsidRPr="00D2006A">
        <w:rPr>
          <w:rFonts w:ascii="Times New Roman" w:hAnsi="Times New Roman" w:cs="Times New Roman"/>
          <w:bCs/>
          <w:sz w:val="24"/>
          <w:szCs w:val="24"/>
        </w:rPr>
        <w:t>anka</w:t>
      </w:r>
      <w:r>
        <w:rPr>
          <w:rFonts w:ascii="Times New Roman" w:hAnsi="Times New Roman" w:cs="Times New Roman"/>
          <w:bCs/>
          <w:sz w:val="24"/>
          <w:szCs w:val="24"/>
        </w:rPr>
        <w:t xml:space="preserve">. Therefore, Oman should take due advantage of its proximity to other markets apart from UAE, Somalia, Comoros and Yemen with which it has exhausted its export potentials. More importantly, Oman should consolidate trade towards countries like India and Iran which are important economies in global trade. </w:t>
      </w:r>
    </w:p>
    <w:p w:rsidR="005D727C" w:rsidRDefault="005D727C">
      <w:pPr>
        <w:rPr>
          <w:rFonts w:asciiTheme="majorBidi" w:eastAsiaTheme="majorEastAsia" w:hAnsiTheme="majorBidi" w:cstheme="majorBidi"/>
          <w:b/>
          <w:bCs/>
          <w:i/>
          <w:iCs/>
          <w:noProof w:val="0"/>
          <w:color w:val="365F91" w:themeColor="accent1" w:themeShade="BF"/>
          <w:sz w:val="24"/>
          <w:szCs w:val="24"/>
        </w:rPr>
      </w:pPr>
      <w:r>
        <w:rPr>
          <w:rFonts w:asciiTheme="majorBidi" w:eastAsiaTheme="majorEastAsia" w:hAnsiTheme="majorBidi" w:cstheme="majorBidi"/>
          <w:b/>
          <w:bCs/>
          <w:i/>
          <w:iCs/>
          <w:noProof w:val="0"/>
          <w:color w:val="365F91" w:themeColor="accent1" w:themeShade="BF"/>
          <w:sz w:val="24"/>
          <w:szCs w:val="24"/>
        </w:rPr>
        <w:br w:type="page"/>
      </w:r>
    </w:p>
    <w:p w:rsidR="00B33B41" w:rsidRPr="00F74817" w:rsidRDefault="005323E8" w:rsidP="00F74817">
      <w:pPr>
        <w:widowControl w:val="0"/>
        <w:autoSpaceDE w:val="0"/>
        <w:autoSpaceDN w:val="0"/>
        <w:adjustRightInd w:val="0"/>
        <w:spacing w:after="120" w:line="360" w:lineRule="auto"/>
        <w:ind w:left="475" w:hanging="475"/>
        <w:rPr>
          <w:rFonts w:asciiTheme="majorBidi" w:eastAsiaTheme="majorEastAsia" w:hAnsiTheme="majorBidi" w:cstheme="majorBidi"/>
          <w:b/>
          <w:bCs/>
          <w:i/>
          <w:iCs/>
          <w:noProof w:val="0"/>
          <w:color w:val="365F91" w:themeColor="accent1" w:themeShade="BF"/>
          <w:sz w:val="24"/>
          <w:szCs w:val="24"/>
        </w:rPr>
      </w:pPr>
      <w:bookmarkStart w:id="15" w:name="_GoBack"/>
      <w:bookmarkEnd w:id="15"/>
      <w:r w:rsidRPr="00F74817">
        <w:rPr>
          <w:rFonts w:asciiTheme="majorBidi" w:eastAsiaTheme="majorEastAsia" w:hAnsiTheme="majorBidi" w:cstheme="majorBidi"/>
          <w:b/>
          <w:bCs/>
          <w:i/>
          <w:iCs/>
          <w:noProof w:val="0"/>
          <w:color w:val="365F91" w:themeColor="accent1" w:themeShade="BF"/>
          <w:sz w:val="24"/>
          <w:szCs w:val="24"/>
        </w:rPr>
        <w:lastRenderedPageBreak/>
        <w:t>References</w:t>
      </w:r>
    </w:p>
    <w:p w:rsidR="00AB7C89" w:rsidRPr="00AB7C89" w:rsidRDefault="00EE4776"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Pr>
          <w:rFonts w:ascii="Times New Roman" w:hAnsi="Times New Roman" w:cs="Times New Roman"/>
          <w:b/>
          <w:bCs/>
          <w:color w:val="000000" w:themeColor="text1"/>
          <w:sz w:val="24"/>
          <w:szCs w:val="24"/>
        </w:rPr>
        <w:fldChar w:fldCharType="begin" w:fldLock="1"/>
      </w:r>
      <w:r>
        <w:rPr>
          <w:rFonts w:ascii="Times New Roman" w:hAnsi="Times New Roman" w:cs="Times New Roman"/>
          <w:b/>
          <w:bCs/>
          <w:color w:val="000000" w:themeColor="text1"/>
          <w:sz w:val="24"/>
          <w:szCs w:val="24"/>
        </w:rPr>
        <w:instrText xml:space="preserve">ADDIN Mendeley Bibliography CSL_BIBLIOGRAPHY </w:instrText>
      </w:r>
      <w:r>
        <w:rPr>
          <w:rFonts w:ascii="Times New Roman" w:hAnsi="Times New Roman" w:cs="Times New Roman"/>
          <w:b/>
          <w:bCs/>
          <w:color w:val="000000" w:themeColor="text1"/>
          <w:sz w:val="24"/>
          <w:szCs w:val="24"/>
        </w:rPr>
        <w:fldChar w:fldCharType="separate"/>
      </w:r>
      <w:r w:rsidR="00AB7C89" w:rsidRPr="00AB7C89">
        <w:rPr>
          <w:rFonts w:ascii="Times New Roman" w:hAnsi="Times New Roman" w:cs="Times New Roman"/>
          <w:sz w:val="24"/>
          <w:szCs w:val="24"/>
        </w:rPr>
        <w:t xml:space="preserve">Abedini, J., &amp; Péridy, N. (2008). The Greater Arab Free Trade Area ( GAFTA ): an Estimation of Its Trade Effects. </w:t>
      </w:r>
      <w:r w:rsidR="00AB7C89" w:rsidRPr="00AB7C89">
        <w:rPr>
          <w:rFonts w:ascii="Times New Roman" w:hAnsi="Times New Roman" w:cs="Times New Roman"/>
          <w:i/>
          <w:iCs/>
          <w:sz w:val="24"/>
          <w:szCs w:val="24"/>
        </w:rPr>
        <w:t>Journal of Economic Integration</w:t>
      </w:r>
      <w:r w:rsidR="00AB7C89" w:rsidRPr="00AB7C89">
        <w:rPr>
          <w:rFonts w:ascii="Times New Roman" w:hAnsi="Times New Roman" w:cs="Times New Roman"/>
          <w:sz w:val="24"/>
          <w:szCs w:val="24"/>
        </w:rPr>
        <w:t xml:space="preserve">, </w:t>
      </w:r>
      <w:r w:rsidR="00AB7C89" w:rsidRPr="00AB7C89">
        <w:rPr>
          <w:rFonts w:ascii="Times New Roman" w:hAnsi="Times New Roman" w:cs="Times New Roman"/>
          <w:i/>
          <w:iCs/>
          <w:sz w:val="24"/>
          <w:szCs w:val="24"/>
        </w:rPr>
        <w:t>23</w:t>
      </w:r>
      <w:r w:rsidR="00AB7C89" w:rsidRPr="00AB7C89">
        <w:rPr>
          <w:rFonts w:ascii="Times New Roman" w:hAnsi="Times New Roman" w:cs="Times New Roman"/>
          <w:sz w:val="24"/>
          <w:szCs w:val="24"/>
        </w:rPr>
        <w:t>(4), 848–872.</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Anderson, J. E., &amp; Wincoop, E. van. (2003). Gravity with Gravitas : A Soiution to the Border Puzzie. </w:t>
      </w:r>
      <w:r w:rsidRPr="00AB7C89">
        <w:rPr>
          <w:rFonts w:ascii="Times New Roman" w:hAnsi="Times New Roman" w:cs="Times New Roman"/>
          <w:i/>
          <w:iCs/>
          <w:sz w:val="24"/>
          <w:szCs w:val="24"/>
        </w:rPr>
        <w:t>The American Economic Review</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93</w:t>
      </w:r>
      <w:r w:rsidRPr="00AB7C89">
        <w:rPr>
          <w:rFonts w:ascii="Times New Roman" w:hAnsi="Times New Roman" w:cs="Times New Roman"/>
          <w:sz w:val="24"/>
          <w:szCs w:val="24"/>
        </w:rPr>
        <w:t xml:space="preserve">(1), 170–192.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Arvis, J.-F., &amp; Shepherd, B. (2011). The Poisson quasi-maximum likelihood estimator: a solution to the ‘adding up’problem in gravity models. </w:t>
      </w:r>
      <w:r w:rsidRPr="00AB7C89">
        <w:rPr>
          <w:rFonts w:ascii="Times New Roman" w:hAnsi="Times New Roman" w:cs="Times New Roman"/>
          <w:i/>
          <w:iCs/>
          <w:sz w:val="24"/>
          <w:szCs w:val="24"/>
        </w:rPr>
        <w:t>Applied Economics Letters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20</w:t>
      </w:r>
      <w:r w:rsidRPr="00AB7C89">
        <w:rPr>
          <w:rFonts w:ascii="Times New Roman" w:hAnsi="Times New Roman" w:cs="Times New Roman"/>
          <w:sz w:val="24"/>
          <w:szCs w:val="24"/>
        </w:rPr>
        <w:t>(6), 515–519.</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Baier, S. L., &amp; Bergstrand, J. H. (2007). Do free trade agreements actually increase members’ international trade? </w:t>
      </w:r>
      <w:r w:rsidRPr="00AB7C89">
        <w:rPr>
          <w:rFonts w:ascii="Times New Roman" w:hAnsi="Times New Roman" w:cs="Times New Roman"/>
          <w:i/>
          <w:iCs/>
          <w:sz w:val="24"/>
          <w:szCs w:val="24"/>
        </w:rPr>
        <w:t>Journal of International Economics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71</w:t>
      </w:r>
      <w:r w:rsidRPr="00AB7C89">
        <w:rPr>
          <w:rFonts w:ascii="Times New Roman" w:hAnsi="Times New Roman" w:cs="Times New Roman"/>
          <w:sz w:val="24"/>
          <w:szCs w:val="24"/>
        </w:rPr>
        <w:t xml:space="preserve">(1), 72–95.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Baldwin, R. E. (1994). Towards an Integrated Europe. </w:t>
      </w:r>
      <w:r w:rsidRPr="00AB7C89">
        <w:rPr>
          <w:rFonts w:ascii="Times New Roman" w:hAnsi="Times New Roman" w:cs="Times New Roman"/>
          <w:i/>
          <w:iCs/>
          <w:sz w:val="24"/>
          <w:szCs w:val="24"/>
        </w:rPr>
        <w:t>Comparative Economic Studies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37</w:t>
      </w:r>
      <w:r w:rsidRPr="00AB7C89">
        <w:rPr>
          <w:rFonts w:ascii="Times New Roman" w:hAnsi="Times New Roman" w:cs="Times New Roman"/>
          <w:sz w:val="24"/>
          <w:szCs w:val="24"/>
        </w:rPr>
        <w:t xml:space="preserve">(2), 115–118.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Batra, A. (2004).</w:t>
      </w:r>
      <w:r w:rsidRPr="00AB7C89">
        <w:rPr>
          <w:rFonts w:ascii="Times New Roman" w:hAnsi="Times New Roman" w:cs="Times New Roman"/>
          <w:i/>
          <w:iCs/>
          <w:sz w:val="24"/>
          <w:szCs w:val="24"/>
        </w:rPr>
        <w:t>India’s Global Trade Potential :The Gravity Model Approach</w:t>
      </w:r>
      <w:r w:rsidRPr="00AB7C89">
        <w:rPr>
          <w:rFonts w:ascii="Times New Roman" w:hAnsi="Times New Roman" w:cs="Times New Roman"/>
          <w:sz w:val="24"/>
          <w:szCs w:val="24"/>
        </w:rPr>
        <w:t xml:space="preserve"> (No. 151). New Delhi.</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Boughanmi, H. (2008). The Trade Potential of the Arab Gulf Cooperation Countries</w:t>
      </w:r>
      <w:r w:rsidR="003E3D98">
        <w:rPr>
          <w:rFonts w:ascii="Times New Roman" w:hAnsi="Times New Roman" w:cs="Times New Roman"/>
          <w:sz w:val="24"/>
          <w:szCs w:val="24"/>
        </w:rPr>
        <w:t xml:space="preserve"> </w:t>
      </w:r>
      <w:r w:rsidRPr="00AB7C89">
        <w:rPr>
          <w:rFonts w:ascii="Times New Roman" w:hAnsi="Times New Roman" w:cs="Times New Roman"/>
          <w:sz w:val="24"/>
          <w:szCs w:val="24"/>
        </w:rPr>
        <w:t xml:space="preserve">(GCC ): A Gravity Model. </w:t>
      </w:r>
      <w:r w:rsidRPr="00AB7C89">
        <w:rPr>
          <w:rFonts w:ascii="Times New Roman" w:hAnsi="Times New Roman" w:cs="Times New Roman"/>
          <w:i/>
          <w:iCs/>
          <w:sz w:val="24"/>
          <w:szCs w:val="24"/>
        </w:rPr>
        <w:t>Journal of Economic Integration</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23</w:t>
      </w:r>
      <w:r w:rsidRPr="00AB7C89">
        <w:rPr>
          <w:rFonts w:ascii="Times New Roman" w:hAnsi="Times New Roman" w:cs="Times New Roman"/>
          <w:sz w:val="24"/>
          <w:szCs w:val="24"/>
        </w:rPr>
        <w:t>(March), 42–56.</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Brun, J.-F.,</w:t>
      </w:r>
      <w:r w:rsidR="003E3D98">
        <w:rPr>
          <w:rFonts w:ascii="Times New Roman" w:hAnsi="Times New Roman" w:cs="Times New Roman"/>
          <w:sz w:val="24"/>
          <w:szCs w:val="24"/>
        </w:rPr>
        <w:t xml:space="preserve"> </w:t>
      </w:r>
      <w:r w:rsidRPr="00AB7C89">
        <w:rPr>
          <w:rFonts w:ascii="Times New Roman" w:hAnsi="Times New Roman" w:cs="Times New Roman"/>
          <w:sz w:val="24"/>
          <w:szCs w:val="24"/>
        </w:rPr>
        <w:t>Carrère,</w:t>
      </w:r>
      <w:r w:rsidR="003E3D98">
        <w:rPr>
          <w:rFonts w:ascii="Times New Roman" w:hAnsi="Times New Roman" w:cs="Times New Roman"/>
          <w:sz w:val="24"/>
          <w:szCs w:val="24"/>
        </w:rPr>
        <w:t xml:space="preserve"> </w:t>
      </w:r>
      <w:r w:rsidRPr="00AB7C89">
        <w:rPr>
          <w:rFonts w:ascii="Times New Roman" w:hAnsi="Times New Roman" w:cs="Times New Roman"/>
          <w:sz w:val="24"/>
          <w:szCs w:val="24"/>
        </w:rPr>
        <w:t>C.,</w:t>
      </w:r>
      <w:r w:rsidR="003E3D98">
        <w:rPr>
          <w:rFonts w:ascii="Times New Roman" w:hAnsi="Times New Roman" w:cs="Times New Roman"/>
          <w:sz w:val="24"/>
          <w:szCs w:val="24"/>
        </w:rPr>
        <w:t xml:space="preserve"> </w:t>
      </w:r>
      <w:r w:rsidRPr="00AB7C89">
        <w:rPr>
          <w:rFonts w:ascii="Times New Roman" w:hAnsi="Times New Roman" w:cs="Times New Roman"/>
          <w:sz w:val="24"/>
          <w:szCs w:val="24"/>
        </w:rPr>
        <w:t>Guillaumont, P., &amp; De Melo, J.</w:t>
      </w:r>
      <w:r w:rsidR="003E3D98">
        <w:rPr>
          <w:rFonts w:ascii="Times New Roman" w:hAnsi="Times New Roman" w:cs="Times New Roman"/>
          <w:sz w:val="24"/>
          <w:szCs w:val="24"/>
        </w:rPr>
        <w:t xml:space="preserve"> </w:t>
      </w:r>
      <w:r w:rsidRPr="00AB7C89">
        <w:rPr>
          <w:rFonts w:ascii="Times New Roman" w:hAnsi="Times New Roman" w:cs="Times New Roman"/>
          <w:sz w:val="24"/>
          <w:szCs w:val="24"/>
        </w:rPr>
        <w:t>(2005).</w:t>
      </w:r>
      <w:r w:rsidR="003E3D98">
        <w:rPr>
          <w:rFonts w:ascii="Times New Roman" w:hAnsi="Times New Roman" w:cs="Times New Roman"/>
          <w:sz w:val="24"/>
          <w:szCs w:val="24"/>
        </w:rPr>
        <w:t xml:space="preserve">  </w:t>
      </w:r>
      <w:r w:rsidRPr="00AB7C89">
        <w:rPr>
          <w:rFonts w:ascii="Times New Roman" w:hAnsi="Times New Roman" w:cs="Times New Roman"/>
          <w:sz w:val="24"/>
          <w:szCs w:val="24"/>
        </w:rPr>
        <w:t>Has distance died? Evidence from a panel gravity model.</w:t>
      </w:r>
      <w:r w:rsidRPr="00AB7C89">
        <w:rPr>
          <w:rFonts w:ascii="Times New Roman" w:hAnsi="Times New Roman" w:cs="Times New Roman"/>
          <w:i/>
          <w:iCs/>
          <w:sz w:val="24"/>
          <w:szCs w:val="24"/>
        </w:rPr>
        <w:t>The World Bank Economic Review</w:t>
      </w:r>
      <w:r w:rsidRPr="00AB7C89">
        <w:rPr>
          <w:rFonts w:ascii="Times New Roman" w:hAnsi="Times New Roman" w:cs="Times New Roman"/>
          <w:sz w:val="24"/>
          <w:szCs w:val="24"/>
        </w:rPr>
        <w:t>,</w:t>
      </w:r>
      <w:r w:rsidR="003E3D98">
        <w:rPr>
          <w:rFonts w:ascii="Times New Roman" w:hAnsi="Times New Roman" w:cs="Times New Roman"/>
          <w:sz w:val="24"/>
          <w:szCs w:val="24"/>
        </w:rPr>
        <w:t xml:space="preserve"> </w:t>
      </w:r>
      <w:r w:rsidRPr="00AB7C89">
        <w:rPr>
          <w:rFonts w:ascii="Times New Roman" w:hAnsi="Times New Roman" w:cs="Times New Roman"/>
          <w:i/>
          <w:iCs/>
          <w:sz w:val="24"/>
          <w:szCs w:val="24"/>
        </w:rPr>
        <w:t>19</w:t>
      </w:r>
      <w:r w:rsidRPr="00AB7C89">
        <w:rPr>
          <w:rFonts w:ascii="Times New Roman" w:hAnsi="Times New Roman" w:cs="Times New Roman"/>
          <w:sz w:val="24"/>
          <w:szCs w:val="24"/>
        </w:rPr>
        <w:t>(1),</w:t>
      </w:r>
      <w:r w:rsidR="003E3D98">
        <w:rPr>
          <w:rFonts w:ascii="Times New Roman" w:hAnsi="Times New Roman" w:cs="Times New Roman"/>
          <w:sz w:val="24"/>
          <w:szCs w:val="24"/>
        </w:rPr>
        <w:t xml:space="preserve">   </w:t>
      </w:r>
      <w:r w:rsidRPr="00AB7C89">
        <w:rPr>
          <w:rFonts w:ascii="Times New Roman" w:hAnsi="Times New Roman" w:cs="Times New Roman"/>
          <w:sz w:val="24"/>
          <w:szCs w:val="24"/>
        </w:rPr>
        <w:t>99</w:t>
      </w:r>
      <w:r w:rsidR="003E3D98">
        <w:rPr>
          <w:rFonts w:ascii="Times New Roman" w:hAnsi="Times New Roman" w:cs="Times New Roman"/>
          <w:sz w:val="24"/>
          <w:szCs w:val="24"/>
        </w:rPr>
        <w:t>-</w:t>
      </w:r>
      <w:r w:rsidRPr="00AB7C89">
        <w:rPr>
          <w:rFonts w:ascii="Times New Roman" w:hAnsi="Times New Roman" w:cs="Times New Roman"/>
          <w:sz w:val="24"/>
          <w:szCs w:val="24"/>
        </w:rPr>
        <w:t>120.</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Coyle, W., &amp; Wang, Z. (1998). Economic Integration and Open Regionalism in APEC: The Gains for US Agriculture. </w:t>
      </w:r>
      <w:r w:rsidRPr="00AB7C89">
        <w:rPr>
          <w:rFonts w:ascii="Times New Roman" w:hAnsi="Times New Roman" w:cs="Times New Roman"/>
          <w:i/>
          <w:iCs/>
          <w:sz w:val="24"/>
          <w:szCs w:val="24"/>
        </w:rPr>
        <w:t>Regional Trade Agreements and US Agriculture. Mary E. Burfisher And</w:t>
      </w:r>
      <w:r w:rsidRPr="00AB7C89">
        <w:rPr>
          <w:rFonts w:ascii="Times New Roman" w:hAnsi="Times New Roman" w:cs="Times New Roman"/>
          <w:sz w:val="24"/>
          <w:szCs w:val="24"/>
        </w:rPr>
        <w:t>, 108.</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Dabee, B., &amp; Reddy, M. (2001). Regional Agreements In the Indian Ocean. </w:t>
      </w:r>
      <w:r w:rsidRPr="00AB7C89">
        <w:rPr>
          <w:rFonts w:ascii="Times New Roman" w:hAnsi="Times New Roman" w:cs="Times New Roman"/>
          <w:i/>
          <w:iCs/>
          <w:sz w:val="24"/>
          <w:szCs w:val="24"/>
        </w:rPr>
        <w:t>Harvard Business Review</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67</w:t>
      </w:r>
      <w:r w:rsidRPr="00AB7C89">
        <w:rPr>
          <w:rFonts w:ascii="Times New Roman" w:hAnsi="Times New Roman" w:cs="Times New Roman"/>
          <w:sz w:val="24"/>
          <w:szCs w:val="24"/>
        </w:rPr>
        <w:t xml:space="preserve">(4), 77–85. Retrieved from </w:t>
      </w:r>
    </w:p>
    <w:p w:rsidR="003E3D98" w:rsidRDefault="00AB7C89" w:rsidP="003E3D98">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De Benedictis, L., &amp; Vicarelli, C. (2005). Trade Potentials in Gravity Panel Data Models. </w:t>
      </w:r>
      <w:r w:rsidRPr="00AB7C89">
        <w:rPr>
          <w:rFonts w:ascii="Times New Roman" w:hAnsi="Times New Roman" w:cs="Times New Roman"/>
          <w:i/>
          <w:iCs/>
          <w:sz w:val="24"/>
          <w:szCs w:val="24"/>
        </w:rPr>
        <w:t>Topics in Economic Analysis &amp; Policy</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5</w:t>
      </w:r>
      <w:r w:rsidRPr="00AB7C89">
        <w:rPr>
          <w:rFonts w:ascii="Times New Roman" w:hAnsi="Times New Roman" w:cs="Times New Roman"/>
          <w:sz w:val="24"/>
          <w:szCs w:val="24"/>
        </w:rPr>
        <w:t xml:space="preserve">(1), 1–31. </w:t>
      </w:r>
    </w:p>
    <w:p w:rsidR="00AB7C89" w:rsidRPr="00AB7C89" w:rsidRDefault="00AB7C89" w:rsidP="003E3D98">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Dennis, A. (2006). The impact of regional trade agreements and trade facilitation in the Middle East and North Africa region.</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Fally, T. (2015). Structural gravity and fixed effects. </w:t>
      </w:r>
      <w:r w:rsidRPr="00AB7C89">
        <w:rPr>
          <w:rFonts w:ascii="Times New Roman" w:hAnsi="Times New Roman" w:cs="Times New Roman"/>
          <w:i/>
          <w:iCs/>
          <w:sz w:val="24"/>
          <w:szCs w:val="24"/>
        </w:rPr>
        <w:t>Journal of International Economics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97</w:t>
      </w:r>
      <w:r w:rsidRPr="00AB7C89">
        <w:rPr>
          <w:rFonts w:ascii="Times New Roman" w:hAnsi="Times New Roman" w:cs="Times New Roman"/>
          <w:sz w:val="24"/>
          <w:szCs w:val="24"/>
        </w:rPr>
        <w:t>(1), 76–85.</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Feenstra, R. C. (2002). Border effects and the gravity equation: consistent methods for estimation. </w:t>
      </w:r>
      <w:r w:rsidRPr="00AB7C89">
        <w:rPr>
          <w:rFonts w:ascii="Times New Roman" w:hAnsi="Times New Roman" w:cs="Times New Roman"/>
          <w:i/>
          <w:iCs/>
          <w:sz w:val="24"/>
          <w:szCs w:val="24"/>
        </w:rPr>
        <w:t>Scottish Journal of Political Economy</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49</w:t>
      </w:r>
      <w:r w:rsidRPr="00AB7C89">
        <w:rPr>
          <w:rFonts w:ascii="Times New Roman" w:hAnsi="Times New Roman" w:cs="Times New Roman"/>
          <w:sz w:val="24"/>
          <w:szCs w:val="24"/>
        </w:rPr>
        <w:t>(5), 491–506.</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Felbermayr, G., Heid, B., Larch, M., &amp; Yalcin, E. (2015). Macroeconomic potentials of transatlantic free trade: A high resolution perspective for Europe and the world. </w:t>
      </w:r>
      <w:r w:rsidRPr="00AB7C89">
        <w:rPr>
          <w:rFonts w:ascii="Times New Roman" w:hAnsi="Times New Roman" w:cs="Times New Roman"/>
          <w:i/>
          <w:iCs/>
          <w:sz w:val="24"/>
          <w:szCs w:val="24"/>
        </w:rPr>
        <w:t>Economic Policy</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30</w:t>
      </w:r>
      <w:r w:rsidRPr="00AB7C89">
        <w:rPr>
          <w:rFonts w:ascii="Times New Roman" w:hAnsi="Times New Roman" w:cs="Times New Roman"/>
          <w:sz w:val="24"/>
          <w:szCs w:val="24"/>
        </w:rPr>
        <w:t>(83), 491–537.</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lastRenderedPageBreak/>
        <w:t xml:space="preserve">Gómez-Herrera, E. (2013). Comparing alternative methods to estimate gravity models of bilateral trade. </w:t>
      </w:r>
      <w:r w:rsidRPr="00AB7C89">
        <w:rPr>
          <w:rFonts w:ascii="Times New Roman" w:hAnsi="Times New Roman" w:cs="Times New Roman"/>
          <w:i/>
          <w:iCs/>
          <w:sz w:val="24"/>
          <w:szCs w:val="24"/>
        </w:rPr>
        <w:t>Empirical Economics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44</w:t>
      </w:r>
      <w:r w:rsidRPr="00AB7C89">
        <w:rPr>
          <w:rFonts w:ascii="Times New Roman" w:hAnsi="Times New Roman" w:cs="Times New Roman"/>
          <w:sz w:val="24"/>
          <w:szCs w:val="24"/>
        </w:rPr>
        <w:t>(3), 1087–1111.</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Gómez, E., &amp; Milgram, J. (2010). </w:t>
      </w:r>
      <w:r w:rsidRPr="00AB7C89">
        <w:rPr>
          <w:rFonts w:ascii="Times New Roman" w:hAnsi="Times New Roman" w:cs="Times New Roman"/>
          <w:i/>
          <w:iCs/>
          <w:sz w:val="24"/>
          <w:szCs w:val="24"/>
        </w:rPr>
        <w:t>Are estimation techniques neutral to estimate gravity equations? An application to the impact of EMU on third countries’ exports</w:t>
      </w:r>
      <w:r w:rsidRPr="00AB7C89">
        <w:rPr>
          <w:rFonts w:ascii="Times New Roman" w:hAnsi="Times New Roman" w:cs="Times New Roman"/>
          <w:sz w:val="24"/>
          <w:szCs w:val="24"/>
        </w:rPr>
        <w:t>. mimeo.</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Helpman, E., Melitz, M., &amp; Rubinstein, Y. (2008). Estimating trade flows: Trading partners and trading volumes. </w:t>
      </w:r>
      <w:r w:rsidRPr="00AB7C89">
        <w:rPr>
          <w:rFonts w:ascii="Times New Roman" w:hAnsi="Times New Roman" w:cs="Times New Roman"/>
          <w:i/>
          <w:iCs/>
          <w:sz w:val="24"/>
          <w:szCs w:val="24"/>
        </w:rPr>
        <w:t>The Quarterly Journal of Economics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123</w:t>
      </w:r>
      <w:r w:rsidRPr="00AB7C89">
        <w:rPr>
          <w:rFonts w:ascii="Times New Roman" w:hAnsi="Times New Roman" w:cs="Times New Roman"/>
          <w:sz w:val="24"/>
          <w:szCs w:val="24"/>
        </w:rPr>
        <w:t>(2), 441–487.</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Hoekman, B. M. (2016). </w:t>
      </w:r>
      <w:r w:rsidRPr="00AB7C89">
        <w:rPr>
          <w:rFonts w:ascii="Times New Roman" w:hAnsi="Times New Roman" w:cs="Times New Roman"/>
          <w:i/>
          <w:iCs/>
          <w:sz w:val="24"/>
          <w:szCs w:val="24"/>
        </w:rPr>
        <w:t>Intra-regional trade: potential catalyst for growth in the Middle East</w:t>
      </w:r>
      <w:r w:rsidRPr="00AB7C89">
        <w:rPr>
          <w:rFonts w:ascii="Times New Roman" w:hAnsi="Times New Roman" w:cs="Times New Roman"/>
          <w:sz w:val="24"/>
          <w:szCs w:val="24"/>
        </w:rPr>
        <w:t xml:space="preserve"> (1).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IORA. (2016a). </w:t>
      </w:r>
      <w:r w:rsidRPr="00AB7C89">
        <w:rPr>
          <w:rFonts w:ascii="Times New Roman" w:hAnsi="Times New Roman" w:cs="Times New Roman"/>
          <w:i/>
          <w:iCs/>
          <w:sz w:val="24"/>
          <w:szCs w:val="24"/>
        </w:rPr>
        <w:t>The Sudy On Bilateral and Regional Trade and Investment Related Agreements and Dialogues Between Member States</w:t>
      </w:r>
      <w:r w:rsidRPr="00AB7C89">
        <w:rPr>
          <w:rFonts w:ascii="Times New Roman" w:hAnsi="Times New Roman" w:cs="Times New Roman"/>
          <w:sz w:val="24"/>
          <w:szCs w:val="24"/>
        </w:rPr>
        <w:t>.</w:t>
      </w:r>
    </w:p>
    <w:p w:rsidR="003E3D98"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IORA. (2016b). Trade &amp; Investment Facilitation.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http://www.iora.net/en/priorities-focus-areas/trade-and-investment-facilitation</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IORA. (2017). Background - IORA - Indian Ocean Rim Association. Retrieved October 7, 2017, from http://www.iora.net/about-us/background.aspx</w:t>
      </w:r>
    </w:p>
    <w:p w:rsidR="003E3D98"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ITC. (2015). Trade Map - Trade statistics for international business development.</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 https://www.trademap.org/Index.aspx</w:t>
      </w:r>
    </w:p>
    <w:p w:rsidR="003E3D98" w:rsidRPr="00AB7C89" w:rsidRDefault="00AB7C89" w:rsidP="003E3D98">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Kaliappa, K. (2007). Regional Cooperation and Bilateral Trade Flows: An Empirical Measurement of Resistance. </w:t>
      </w:r>
      <w:r w:rsidRPr="00AB7C89">
        <w:rPr>
          <w:rFonts w:ascii="Times New Roman" w:hAnsi="Times New Roman" w:cs="Times New Roman"/>
          <w:i/>
          <w:iCs/>
          <w:sz w:val="24"/>
          <w:szCs w:val="24"/>
        </w:rPr>
        <w:t>The International Trade Journal</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21</w:t>
      </w:r>
      <w:r w:rsidRPr="00AB7C89">
        <w:rPr>
          <w:rFonts w:ascii="Times New Roman" w:hAnsi="Times New Roman" w:cs="Times New Roman"/>
          <w:sz w:val="24"/>
          <w:szCs w:val="24"/>
        </w:rPr>
        <w:t xml:space="preserve">(2), 85–107.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Linnemann, H. (1966). </w:t>
      </w:r>
      <w:r w:rsidRPr="00AB7C89">
        <w:rPr>
          <w:rFonts w:ascii="Times New Roman" w:hAnsi="Times New Roman" w:cs="Times New Roman"/>
          <w:i/>
          <w:iCs/>
          <w:sz w:val="24"/>
          <w:szCs w:val="24"/>
        </w:rPr>
        <w:t>An econometric study of international trade flows</w:t>
      </w:r>
      <w:r w:rsidRPr="00AB7C89">
        <w:rPr>
          <w:rFonts w:ascii="Times New Roman" w:hAnsi="Times New Roman" w:cs="Times New Roman"/>
          <w:sz w:val="24"/>
          <w:szCs w:val="24"/>
        </w:rPr>
        <w:t xml:space="preserve">. Amsterdam: North-Holland Publishing.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Llewellyn, L. E., English, S., &amp; Barnwell, S. (2016). A roadmap to a sustainable Indian Ocean blue economy. </w:t>
      </w:r>
      <w:r w:rsidRPr="00AB7C89">
        <w:rPr>
          <w:rFonts w:ascii="Times New Roman" w:hAnsi="Times New Roman" w:cs="Times New Roman"/>
          <w:i/>
          <w:iCs/>
          <w:sz w:val="24"/>
          <w:szCs w:val="24"/>
        </w:rPr>
        <w:t>Journal of the Indian Ocean Region</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12</w:t>
      </w:r>
      <w:r w:rsidRPr="00AB7C89">
        <w:rPr>
          <w:rFonts w:ascii="Times New Roman" w:hAnsi="Times New Roman" w:cs="Times New Roman"/>
          <w:sz w:val="24"/>
          <w:szCs w:val="24"/>
        </w:rPr>
        <w:t xml:space="preserve">(1), 52–66.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Márquez-Ramos, L., Martínez-Zarzoso, I., &amp; Suárez-Burguet, C. (2007). The Role of Distance in Gravity Regressions: Is There Really a Missing Globalisation Puzzle? </w:t>
      </w:r>
      <w:r w:rsidRPr="00AB7C89">
        <w:rPr>
          <w:rFonts w:ascii="Times New Roman" w:hAnsi="Times New Roman" w:cs="Times New Roman"/>
          <w:i/>
          <w:iCs/>
          <w:sz w:val="24"/>
          <w:szCs w:val="24"/>
        </w:rPr>
        <w:t>The BE Journal of Economic Analysis &amp; Policy</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7</w:t>
      </w:r>
      <w:r w:rsidRPr="00AB7C89">
        <w:rPr>
          <w:rFonts w:ascii="Times New Roman" w:hAnsi="Times New Roman" w:cs="Times New Roman"/>
          <w:sz w:val="24"/>
          <w:szCs w:val="24"/>
        </w:rPr>
        <w:t>(1).</w:t>
      </w:r>
    </w:p>
    <w:p w:rsidR="003E3D98" w:rsidRDefault="00AB7C89" w:rsidP="003E3D98">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Martínez-Zarzoso, I. (2013). The Log of Gravity Revisited. </w:t>
      </w:r>
      <w:r w:rsidRPr="00AB7C89">
        <w:rPr>
          <w:rFonts w:ascii="Times New Roman" w:hAnsi="Times New Roman" w:cs="Times New Roman"/>
          <w:i/>
          <w:iCs/>
          <w:sz w:val="24"/>
          <w:szCs w:val="24"/>
        </w:rPr>
        <w:t>Applied Economics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45</w:t>
      </w:r>
      <w:r w:rsidRPr="00AB7C89">
        <w:rPr>
          <w:rFonts w:ascii="Times New Roman" w:hAnsi="Times New Roman" w:cs="Times New Roman"/>
          <w:sz w:val="24"/>
          <w:szCs w:val="24"/>
        </w:rPr>
        <w:t xml:space="preserve">(3), 311–327. </w:t>
      </w:r>
    </w:p>
    <w:p w:rsidR="00AB7C89" w:rsidRPr="00AB7C89" w:rsidRDefault="00AB7C89" w:rsidP="003E3D98">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Martinez-Zarzoso, I., Felicitas, N.-L. D., &amp; Horsewood, N. (2009). Are regional trading agreements beneficial?: Static and dynamic panel gravity models. </w:t>
      </w:r>
      <w:r w:rsidRPr="00AB7C89">
        <w:rPr>
          <w:rFonts w:ascii="Times New Roman" w:hAnsi="Times New Roman" w:cs="Times New Roman"/>
          <w:i/>
          <w:iCs/>
          <w:sz w:val="24"/>
          <w:szCs w:val="24"/>
        </w:rPr>
        <w:t>The North American Journal of Economics and Finance</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20</w:t>
      </w:r>
      <w:r w:rsidRPr="00AB7C89">
        <w:rPr>
          <w:rFonts w:ascii="Times New Roman" w:hAnsi="Times New Roman" w:cs="Times New Roman"/>
          <w:sz w:val="24"/>
          <w:szCs w:val="24"/>
        </w:rPr>
        <w:t>(1), 46–65.</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Martinez-Zarzoso, I., &amp; Nowak-Lehmann, F. (2003). Augmented Gravity Model:An Emperical Application To MERCOSUR-EUROPEAN Union Trade Flows, </w:t>
      </w:r>
      <w:r w:rsidRPr="00AB7C89">
        <w:rPr>
          <w:rFonts w:ascii="Times New Roman" w:hAnsi="Times New Roman" w:cs="Times New Roman"/>
          <w:i/>
          <w:iCs/>
          <w:sz w:val="24"/>
          <w:szCs w:val="24"/>
        </w:rPr>
        <w:t>2</w:t>
      </w:r>
      <w:r w:rsidRPr="00AB7C89">
        <w:rPr>
          <w:rFonts w:ascii="Times New Roman" w:hAnsi="Times New Roman" w:cs="Times New Roman"/>
          <w:sz w:val="24"/>
          <w:szCs w:val="24"/>
        </w:rPr>
        <w:t>(2), 291–316.</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lastRenderedPageBreak/>
        <w:t xml:space="preserve">Matyas, L. (1997). Proper Econometric Specification of the Gravity Model. </w:t>
      </w:r>
      <w:r w:rsidRPr="00AB7C89">
        <w:rPr>
          <w:rFonts w:ascii="Times New Roman" w:hAnsi="Times New Roman" w:cs="Times New Roman"/>
          <w:i/>
          <w:iCs/>
          <w:sz w:val="24"/>
          <w:szCs w:val="24"/>
        </w:rPr>
        <w:t>The World Economy</w:t>
      </w:r>
      <w:r w:rsidRPr="00AB7C89">
        <w:rPr>
          <w:rFonts w:ascii="Times New Roman" w:hAnsi="Times New Roman" w:cs="Times New Roman"/>
          <w:sz w:val="24"/>
          <w:szCs w:val="24"/>
        </w:rPr>
        <w:t>.</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Mayer, T., &amp; Zignago, S. (2011). </w:t>
      </w:r>
      <w:r w:rsidRPr="00AB7C89">
        <w:rPr>
          <w:rFonts w:ascii="Times New Roman" w:hAnsi="Times New Roman" w:cs="Times New Roman"/>
          <w:i/>
          <w:iCs/>
          <w:sz w:val="24"/>
          <w:szCs w:val="24"/>
        </w:rPr>
        <w:t>Notes on CEPII’s Distance Measures: the GeoDist Database</w:t>
      </w:r>
      <w:r w:rsidRPr="00AB7C89">
        <w:rPr>
          <w:rFonts w:ascii="Times New Roman" w:hAnsi="Times New Roman" w:cs="Times New Roman"/>
          <w:sz w:val="24"/>
          <w:szCs w:val="24"/>
        </w:rPr>
        <w:t xml:space="preserve"> (No. 2011–25). </w:t>
      </w:r>
      <w:r w:rsidRPr="00AB7C89">
        <w:rPr>
          <w:rFonts w:ascii="Times New Roman" w:hAnsi="Times New Roman" w:cs="Times New Roman"/>
          <w:i/>
          <w:iCs/>
          <w:sz w:val="24"/>
          <w:szCs w:val="24"/>
        </w:rPr>
        <w:t>Notes on CEPII’s distances measures: The Ge oDist database</w:t>
      </w:r>
      <w:r w:rsidRPr="00AB7C89">
        <w:rPr>
          <w:rFonts w:ascii="Times New Roman" w:hAnsi="Times New Roman" w:cs="Times New Roman"/>
          <w:sz w:val="24"/>
          <w:szCs w:val="24"/>
        </w:rPr>
        <w:t>.</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Mohanty, S. K., &amp; Dash, P. (2015). </w:t>
      </w:r>
      <w:r w:rsidRPr="00AB7C89">
        <w:rPr>
          <w:rFonts w:ascii="Times New Roman" w:hAnsi="Times New Roman" w:cs="Times New Roman"/>
          <w:i/>
          <w:iCs/>
          <w:sz w:val="24"/>
          <w:szCs w:val="24"/>
        </w:rPr>
        <w:t>Trade and Investment Prospects of the IORA in the New Millennium New Economic Frontiers of the Region</w:t>
      </w:r>
      <w:r w:rsidRPr="00AB7C89">
        <w:rPr>
          <w:rFonts w:ascii="Times New Roman" w:hAnsi="Times New Roman" w:cs="Times New Roman"/>
          <w:sz w:val="24"/>
          <w:szCs w:val="24"/>
        </w:rPr>
        <w:t xml:space="preserve">. New Delhi, India.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Oguledo, V., &amp; MacPhee, C. R. (1994). Gravity models: a reformulation and an application to discriminatory trade arrangements. </w:t>
      </w:r>
      <w:r w:rsidRPr="00AB7C89">
        <w:rPr>
          <w:rFonts w:ascii="Times New Roman" w:hAnsi="Times New Roman" w:cs="Times New Roman"/>
          <w:i/>
          <w:iCs/>
          <w:sz w:val="24"/>
          <w:szCs w:val="24"/>
        </w:rPr>
        <w:t>Applied Economics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26</w:t>
      </w:r>
      <w:r w:rsidRPr="00AB7C89">
        <w:rPr>
          <w:rFonts w:ascii="Times New Roman" w:hAnsi="Times New Roman" w:cs="Times New Roman"/>
          <w:sz w:val="24"/>
          <w:szCs w:val="24"/>
        </w:rPr>
        <w:t>(2), 107–120.</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Santos Silva, J. M. C., &amp; Tenreyro, S. (2006). The Log of Gravity. </w:t>
      </w:r>
      <w:r w:rsidRPr="00AB7C89">
        <w:rPr>
          <w:rFonts w:ascii="Times New Roman" w:hAnsi="Times New Roman" w:cs="Times New Roman"/>
          <w:i/>
          <w:iCs/>
          <w:sz w:val="24"/>
          <w:szCs w:val="24"/>
        </w:rPr>
        <w:t>The Review of Economics and Statistics</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88</w:t>
      </w:r>
      <w:r w:rsidRPr="00AB7C89">
        <w:rPr>
          <w:rFonts w:ascii="Times New Roman" w:hAnsi="Times New Roman" w:cs="Times New Roman"/>
          <w:sz w:val="24"/>
          <w:szCs w:val="24"/>
        </w:rPr>
        <w:t xml:space="preserve">(4), 641–658.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Tinbergen, J. (1962). Shaping the World Economy: Suggestions for an International Economic Policy. </w:t>
      </w:r>
      <w:r w:rsidRPr="00AB7C89">
        <w:rPr>
          <w:rFonts w:ascii="Times New Roman" w:hAnsi="Times New Roman" w:cs="Times New Roman"/>
          <w:i/>
          <w:iCs/>
          <w:sz w:val="24"/>
          <w:szCs w:val="24"/>
        </w:rPr>
        <w:t>Economic Journal</w:t>
      </w:r>
      <w:r w:rsidRPr="00AB7C89">
        <w:rPr>
          <w:rFonts w:ascii="Times New Roman" w:hAnsi="Times New Roman" w:cs="Times New Roman"/>
          <w:sz w:val="24"/>
          <w:szCs w:val="24"/>
        </w:rPr>
        <w:t>.</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Wang, Z., &amp; Coyle, B. (2002). APEC open regionalism and its impact on the world economy: a computable general equilibrium analysis. </w:t>
      </w:r>
      <w:r w:rsidRPr="00AB7C89">
        <w:rPr>
          <w:rFonts w:ascii="Times New Roman" w:hAnsi="Times New Roman" w:cs="Times New Roman"/>
          <w:i/>
          <w:iCs/>
          <w:sz w:val="24"/>
          <w:szCs w:val="24"/>
        </w:rPr>
        <w:t>World Economy</w:t>
      </w:r>
      <w:r w:rsidRPr="00AB7C89">
        <w:rPr>
          <w:rFonts w:ascii="Times New Roman" w:hAnsi="Times New Roman" w:cs="Times New Roman"/>
          <w:sz w:val="24"/>
          <w:szCs w:val="24"/>
        </w:rPr>
        <w:t xml:space="preserve">, </w:t>
      </w:r>
      <w:r w:rsidRPr="00AB7C89">
        <w:rPr>
          <w:rFonts w:ascii="Times New Roman" w:hAnsi="Times New Roman" w:cs="Times New Roman"/>
          <w:i/>
          <w:iCs/>
          <w:sz w:val="24"/>
          <w:szCs w:val="24"/>
        </w:rPr>
        <w:t>25</w:t>
      </w:r>
      <w:r w:rsidRPr="00AB7C89">
        <w:rPr>
          <w:rFonts w:ascii="Times New Roman" w:hAnsi="Times New Roman" w:cs="Times New Roman"/>
          <w:sz w:val="24"/>
          <w:szCs w:val="24"/>
        </w:rPr>
        <w:t>(4), 563–589.</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Wippel, S. (2013). Oman and the Indian Ocean Rim – Economic Integration Across Conventional Meta-Regions. In </w:t>
      </w:r>
      <w:r w:rsidRPr="00AB7C89">
        <w:rPr>
          <w:rFonts w:ascii="Times New Roman" w:hAnsi="Times New Roman" w:cs="Times New Roman"/>
          <w:i/>
          <w:iCs/>
          <w:sz w:val="24"/>
          <w:szCs w:val="24"/>
        </w:rPr>
        <w:t>Regionalizing Oman</w:t>
      </w:r>
      <w:r w:rsidRPr="00AB7C89">
        <w:rPr>
          <w:rFonts w:ascii="Times New Roman" w:hAnsi="Times New Roman" w:cs="Times New Roman"/>
          <w:sz w:val="24"/>
          <w:szCs w:val="24"/>
        </w:rPr>
        <w:t xml:space="preserve"> (pp. 159–183).</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Wippel, S. (2015). Indian Ocean Rim Cooperation : An Omani Perspective, pp. 1–7.</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WITS. (2015). Oman Trade Summary 2015.</w:t>
      </w:r>
    </w:p>
    <w:p w:rsidR="003E3D98" w:rsidRDefault="00AB7C89" w:rsidP="003E3D98">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World Bank. (2016). Indian Ocean Rim Association. http://databank.worldbank.org/data/reports.</w:t>
      </w:r>
    </w:p>
    <w:p w:rsidR="00AB7C89" w:rsidRPr="00AB7C89" w:rsidRDefault="003E3D98" w:rsidP="003E3D98">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 xml:space="preserve"> </w:t>
      </w:r>
      <w:r w:rsidR="00AB7C89" w:rsidRPr="00AB7C89">
        <w:rPr>
          <w:rFonts w:ascii="Times New Roman" w:hAnsi="Times New Roman" w:cs="Times New Roman"/>
          <w:sz w:val="24"/>
          <w:szCs w:val="24"/>
        </w:rPr>
        <w:t xml:space="preserve">WTO. (2013). </w:t>
      </w:r>
      <w:r w:rsidR="00AB7C89" w:rsidRPr="00AB7C89">
        <w:rPr>
          <w:rFonts w:ascii="Times New Roman" w:hAnsi="Times New Roman" w:cs="Times New Roman"/>
          <w:i/>
          <w:iCs/>
          <w:sz w:val="24"/>
          <w:szCs w:val="24"/>
        </w:rPr>
        <w:t>Trade Policy Review On Oman</w:t>
      </w:r>
      <w:r w:rsidR="00AB7C89" w:rsidRPr="00AB7C89">
        <w:rPr>
          <w:rFonts w:ascii="Times New Roman" w:hAnsi="Times New Roman" w:cs="Times New Roman"/>
          <w:sz w:val="24"/>
          <w:szCs w:val="24"/>
        </w:rPr>
        <w:t xml:space="preserve">. </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szCs w:val="24"/>
        </w:rPr>
      </w:pPr>
      <w:r w:rsidRPr="00AB7C89">
        <w:rPr>
          <w:rFonts w:ascii="Times New Roman" w:hAnsi="Times New Roman" w:cs="Times New Roman"/>
          <w:sz w:val="24"/>
          <w:szCs w:val="24"/>
        </w:rPr>
        <w:t>WTO. (2016). Oman Trade Profile.</w:t>
      </w:r>
    </w:p>
    <w:p w:rsidR="00AB7C89" w:rsidRPr="00AB7C89" w:rsidRDefault="00AB7C89" w:rsidP="00AB7C89">
      <w:pPr>
        <w:widowControl w:val="0"/>
        <w:autoSpaceDE w:val="0"/>
        <w:autoSpaceDN w:val="0"/>
        <w:adjustRightInd w:val="0"/>
        <w:spacing w:before="120" w:line="240" w:lineRule="auto"/>
        <w:ind w:left="480" w:hanging="480"/>
        <w:rPr>
          <w:rFonts w:ascii="Times New Roman" w:hAnsi="Times New Roman" w:cs="Times New Roman"/>
          <w:sz w:val="24"/>
        </w:rPr>
      </w:pPr>
      <w:r w:rsidRPr="00AB7C89">
        <w:rPr>
          <w:rFonts w:ascii="Times New Roman" w:hAnsi="Times New Roman" w:cs="Times New Roman"/>
          <w:sz w:val="24"/>
          <w:szCs w:val="24"/>
        </w:rPr>
        <w:t xml:space="preserve">Yotov, Y. V, Piermartini, R., Monteiro, J.-A., &amp; Larch, M. (2016). </w:t>
      </w:r>
      <w:r w:rsidRPr="00AB7C89">
        <w:rPr>
          <w:rFonts w:ascii="Times New Roman" w:hAnsi="Times New Roman" w:cs="Times New Roman"/>
          <w:i/>
          <w:iCs/>
          <w:sz w:val="24"/>
          <w:szCs w:val="24"/>
        </w:rPr>
        <w:t>An advanced guide to trade policy analysis: The structural gravity model</w:t>
      </w:r>
      <w:r w:rsidRPr="00AB7C89">
        <w:rPr>
          <w:rFonts w:ascii="Times New Roman" w:hAnsi="Times New Roman" w:cs="Times New Roman"/>
          <w:sz w:val="24"/>
          <w:szCs w:val="24"/>
        </w:rPr>
        <w:t>. World Trade Organization.</w:t>
      </w:r>
    </w:p>
    <w:p w:rsidR="00DD52B9" w:rsidRDefault="00EE4776" w:rsidP="00DD52B9">
      <w:pPr>
        <w:widowControl w:val="0"/>
        <w:tabs>
          <w:tab w:val="left" w:pos="3215"/>
        </w:tabs>
        <w:autoSpaceDE w:val="0"/>
        <w:autoSpaceDN w:val="0"/>
        <w:adjustRightInd w:val="0"/>
        <w:spacing w:before="240"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fldChar w:fldCharType="end"/>
      </w:r>
    </w:p>
    <w:p w:rsidR="000623AB" w:rsidRDefault="000623AB" w:rsidP="00DD52B9">
      <w:pPr>
        <w:widowControl w:val="0"/>
        <w:tabs>
          <w:tab w:val="left" w:pos="3215"/>
        </w:tabs>
        <w:autoSpaceDE w:val="0"/>
        <w:autoSpaceDN w:val="0"/>
        <w:adjustRightInd w:val="0"/>
        <w:spacing w:before="240" w:line="240" w:lineRule="auto"/>
        <w:rPr>
          <w:rFonts w:ascii="Times New Roman" w:hAnsi="Times New Roman" w:cs="Times New Roman"/>
          <w:b/>
          <w:bCs/>
          <w:color w:val="000000" w:themeColor="text1"/>
          <w:sz w:val="24"/>
          <w:szCs w:val="24"/>
        </w:rPr>
      </w:pPr>
    </w:p>
    <w:p w:rsidR="000623AB" w:rsidRDefault="000623AB" w:rsidP="00DD52B9">
      <w:pPr>
        <w:widowControl w:val="0"/>
        <w:tabs>
          <w:tab w:val="left" w:pos="3215"/>
        </w:tabs>
        <w:autoSpaceDE w:val="0"/>
        <w:autoSpaceDN w:val="0"/>
        <w:adjustRightInd w:val="0"/>
        <w:spacing w:before="240" w:line="240" w:lineRule="auto"/>
        <w:rPr>
          <w:rFonts w:ascii="Times New Roman" w:hAnsi="Times New Roman" w:cs="Times New Roman"/>
          <w:b/>
          <w:bCs/>
          <w:color w:val="000000" w:themeColor="text1"/>
          <w:sz w:val="24"/>
          <w:szCs w:val="24"/>
        </w:rPr>
      </w:pPr>
    </w:p>
    <w:p w:rsidR="00260F0E" w:rsidRDefault="00260F0E" w:rsidP="00260F0E">
      <w:pPr>
        <w:widowControl w:val="0"/>
        <w:tabs>
          <w:tab w:val="left" w:pos="3215"/>
        </w:tabs>
        <w:autoSpaceDE w:val="0"/>
        <w:autoSpaceDN w:val="0"/>
        <w:adjustRightInd w:val="0"/>
        <w:spacing w:before="240" w:line="240" w:lineRule="auto"/>
        <w:ind w:left="480" w:hanging="480"/>
        <w:rPr>
          <w:rFonts w:ascii="CharterBT-Roman" w:eastAsia="Calibri" w:hAnsi="CharterBT-Roman" w:cs="CharterBT-Roman"/>
          <w:bCs/>
          <w:noProof w:val="0"/>
        </w:rPr>
      </w:pPr>
    </w:p>
    <w:sectPr w:rsidR="00260F0E" w:rsidSect="00F52AC9">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08BE" w:rsidRDefault="004B08BE" w:rsidP="00BD1033">
      <w:pPr>
        <w:spacing w:after="0" w:line="240" w:lineRule="auto"/>
      </w:pPr>
      <w:r>
        <w:separator/>
      </w:r>
    </w:p>
  </w:endnote>
  <w:endnote w:type="continuationSeparator" w:id="0">
    <w:p w:rsidR="004B08BE" w:rsidRDefault="004B08BE" w:rsidP="00BD1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CharterBT-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08BE" w:rsidRDefault="004B08BE" w:rsidP="00BD1033">
      <w:pPr>
        <w:spacing w:after="0" w:line="240" w:lineRule="auto"/>
      </w:pPr>
      <w:r>
        <w:separator/>
      </w:r>
    </w:p>
  </w:footnote>
  <w:footnote w:type="continuationSeparator" w:id="0">
    <w:p w:rsidR="004B08BE" w:rsidRDefault="004B08BE" w:rsidP="00BD1033">
      <w:pPr>
        <w:spacing w:after="0" w:line="240" w:lineRule="auto"/>
      </w:pPr>
      <w:r>
        <w:continuationSeparator/>
      </w:r>
    </w:p>
  </w:footnote>
  <w:footnote w:id="1">
    <w:p w:rsidR="009B786B" w:rsidRDefault="009B786B" w:rsidP="00003A02">
      <w:pPr>
        <w:pStyle w:val="FootnoteText"/>
      </w:pPr>
      <w:r w:rsidRPr="002A2D98">
        <w:rPr>
          <w:rStyle w:val="FootnoteReference"/>
        </w:rPr>
        <w:footnoteRef/>
      </w:r>
      <w:r>
        <w:t xml:space="preserve"> </w:t>
      </w:r>
      <w:r w:rsidRPr="00BE40D3">
        <w:rPr>
          <w:rFonts w:asciiTheme="majorBidi" w:hAnsiTheme="majorBidi" w:cstheme="majorBidi"/>
          <w:sz w:val="16"/>
          <w:szCs w:val="16"/>
        </w:rPr>
        <w:t>World Bank classification of country (http://blogs.worldbank.org/opendata/edutech/new-country-classifications-income-level-2017-2018)</w:t>
      </w:r>
    </w:p>
  </w:footnote>
  <w:footnote w:id="2">
    <w:p w:rsidR="009B786B" w:rsidRDefault="009B786B" w:rsidP="00003A02">
      <w:pPr>
        <w:pStyle w:val="FootnoteText"/>
        <w:spacing w:line="276" w:lineRule="auto"/>
        <w:rPr>
          <w:rFonts w:asciiTheme="majorBidi" w:hAnsiTheme="majorBidi" w:cstheme="majorBidi"/>
          <w:sz w:val="16"/>
          <w:szCs w:val="16"/>
        </w:rPr>
      </w:pPr>
      <w:r w:rsidRPr="002A2D98">
        <w:rPr>
          <w:rStyle w:val="FootnoteReference"/>
        </w:rPr>
        <w:footnoteRef/>
      </w:r>
      <w:r w:rsidRPr="00BA10DA">
        <w:rPr>
          <w:rFonts w:asciiTheme="majorBidi" w:hAnsiTheme="majorBidi" w:cstheme="majorBidi"/>
          <w:sz w:val="16"/>
          <w:szCs w:val="16"/>
        </w:rPr>
        <w:t xml:space="preserve"> (IORA+7) are the 7 dialogue partners in the IORA. They are China, France, Japan, United States, Egypt, Germany, and United </w:t>
      </w:r>
      <w:r>
        <w:rPr>
          <w:rFonts w:asciiTheme="majorBidi" w:hAnsiTheme="majorBidi" w:cstheme="majorBidi"/>
          <w:sz w:val="16"/>
          <w:szCs w:val="16"/>
        </w:rPr>
        <w:t xml:space="preserve">  </w:t>
      </w:r>
    </w:p>
    <w:p w:rsidR="009B786B" w:rsidRDefault="009B786B" w:rsidP="00003A02">
      <w:pPr>
        <w:pStyle w:val="FootnoteText"/>
        <w:spacing w:line="276" w:lineRule="auto"/>
        <w:rPr>
          <w:rFonts w:asciiTheme="majorBidi" w:hAnsiTheme="majorBidi" w:cstheme="majorBidi"/>
          <w:sz w:val="16"/>
          <w:szCs w:val="16"/>
        </w:rPr>
      </w:pPr>
      <w:r>
        <w:rPr>
          <w:rFonts w:asciiTheme="majorBidi" w:hAnsiTheme="majorBidi" w:cstheme="majorBidi"/>
          <w:sz w:val="16"/>
          <w:szCs w:val="16"/>
        </w:rPr>
        <w:t xml:space="preserve">  </w:t>
      </w:r>
      <w:r w:rsidRPr="00BA10DA">
        <w:rPr>
          <w:rFonts w:asciiTheme="majorBidi" w:hAnsiTheme="majorBidi" w:cstheme="majorBidi"/>
          <w:sz w:val="16"/>
          <w:szCs w:val="16"/>
        </w:rPr>
        <w:t xml:space="preserve">Kingdom. South Africa is seriously pushing for the dialogue partners to join the body because </w:t>
      </w:r>
      <w:r>
        <w:rPr>
          <w:rFonts w:asciiTheme="majorBidi" w:hAnsiTheme="majorBidi" w:cstheme="majorBidi"/>
          <w:sz w:val="16"/>
          <w:szCs w:val="16"/>
        </w:rPr>
        <w:t xml:space="preserve">are </w:t>
      </w:r>
      <w:r w:rsidRPr="00BA10DA">
        <w:rPr>
          <w:rFonts w:asciiTheme="majorBidi" w:hAnsiTheme="majorBidi" w:cstheme="majorBidi"/>
          <w:sz w:val="16"/>
          <w:szCs w:val="16"/>
        </w:rPr>
        <w:t xml:space="preserve">they important stakeholders in the </w:t>
      </w:r>
      <w:r>
        <w:rPr>
          <w:rFonts w:asciiTheme="majorBidi" w:hAnsiTheme="majorBidi" w:cstheme="majorBidi"/>
          <w:sz w:val="16"/>
          <w:szCs w:val="16"/>
        </w:rPr>
        <w:t xml:space="preserve">    </w:t>
      </w:r>
    </w:p>
    <w:p w:rsidR="009B786B" w:rsidRPr="00BA10DA" w:rsidRDefault="009B786B" w:rsidP="00003A02">
      <w:pPr>
        <w:pStyle w:val="FootnoteText"/>
        <w:spacing w:line="276" w:lineRule="auto"/>
        <w:ind w:left="90" w:hanging="90"/>
        <w:rPr>
          <w:sz w:val="16"/>
          <w:szCs w:val="16"/>
        </w:rPr>
      </w:pPr>
      <w:r>
        <w:rPr>
          <w:rFonts w:asciiTheme="majorBidi" w:hAnsiTheme="majorBidi" w:cstheme="majorBidi"/>
          <w:sz w:val="16"/>
          <w:szCs w:val="16"/>
        </w:rPr>
        <w:t xml:space="preserve">  </w:t>
      </w:r>
      <w:r w:rsidRPr="00BA10DA">
        <w:rPr>
          <w:rFonts w:asciiTheme="majorBidi" w:hAnsiTheme="majorBidi" w:cstheme="majorBidi"/>
          <w:sz w:val="16"/>
          <w:szCs w:val="16"/>
        </w:rPr>
        <w:t xml:space="preserve">entire spectrum of security and development issues pertaining to the Indian Ocean </w:t>
      </w:r>
      <w:hyperlink r:id="rId1" w:history="1">
        <w:r w:rsidRPr="00E55D9A">
          <w:rPr>
            <w:rStyle w:val="Hyperlink"/>
            <w:rFonts w:asciiTheme="majorBidi" w:hAnsiTheme="majorBidi" w:cstheme="majorBidi"/>
            <w:sz w:val="16"/>
            <w:szCs w:val="16"/>
          </w:rPr>
          <w:t xml:space="preserve">(http://www.gatewayhouse.in/south-africa-chairs-    </w:t>
        </w:r>
        <w:proofErr w:type="spellStart"/>
        <w:r w:rsidRPr="00E55D9A">
          <w:rPr>
            <w:rStyle w:val="Hyperlink"/>
            <w:rFonts w:asciiTheme="majorBidi" w:hAnsiTheme="majorBidi" w:cstheme="majorBidi"/>
            <w:sz w:val="16"/>
            <w:szCs w:val="16"/>
          </w:rPr>
          <w:t>brics-iora</w:t>
        </w:r>
        <w:proofErr w:type="spellEnd"/>
        <w:r w:rsidRPr="00E55D9A">
          <w:rPr>
            <w:rStyle w:val="Hyperlink"/>
            <w:rFonts w:asciiTheme="majorBidi" w:hAnsiTheme="majorBidi" w:cstheme="majorBidi"/>
            <w:sz w:val="16"/>
            <w:szCs w:val="16"/>
          </w:rPr>
          <w:t>/)</w:t>
        </w:r>
      </w:hyperlink>
      <w:r w:rsidRPr="00BA10DA">
        <w:rPr>
          <w:sz w:val="16"/>
          <w:szCs w:val="16"/>
        </w:rPr>
        <w:t xml:space="preserve"> .</w:t>
      </w:r>
    </w:p>
  </w:footnote>
  <w:footnote w:id="3">
    <w:p w:rsidR="009B786B" w:rsidRDefault="009B786B" w:rsidP="00003A02">
      <w:pPr>
        <w:pStyle w:val="FootnoteText"/>
      </w:pPr>
      <w:r w:rsidRPr="002A2D98">
        <w:rPr>
          <w:rStyle w:val="FootnoteReference"/>
        </w:rPr>
        <w:footnoteRef/>
      </w:r>
      <w:r>
        <w:t xml:space="preserve"> </w:t>
      </w:r>
      <w:r w:rsidRPr="00CC5016">
        <w:rPr>
          <w:rFonts w:ascii="Times New Roman" w:hAnsi="Times New Roman" w:cs="Times New Roman"/>
          <w:sz w:val="16"/>
          <w:szCs w:val="16"/>
        </w:rPr>
        <w:t>Australia, India, Kenya, Mauritius, Oman, Singapore and South Africa</w:t>
      </w:r>
    </w:p>
  </w:footnote>
  <w:footnote w:id="4">
    <w:p w:rsidR="009B786B" w:rsidRDefault="009B786B" w:rsidP="009015FF">
      <w:pPr>
        <w:pStyle w:val="FootnoteText"/>
        <w:rPr>
          <w:rFonts w:ascii="Times New Roman" w:hAnsi="Times New Roman" w:cs="Times New Roman"/>
          <w:sz w:val="16"/>
          <w:szCs w:val="16"/>
        </w:rPr>
      </w:pPr>
      <w:r w:rsidRPr="002A2D98">
        <w:rPr>
          <w:rStyle w:val="FootnoteReference"/>
        </w:rPr>
        <w:footnoteRef/>
      </w:r>
      <w:r>
        <w:t xml:space="preserve"> </w:t>
      </w:r>
      <w:r w:rsidRPr="00CC5016">
        <w:rPr>
          <w:rFonts w:ascii="Times New Roman" w:hAnsi="Times New Roman" w:cs="Times New Roman"/>
          <w:sz w:val="16"/>
          <w:szCs w:val="16"/>
        </w:rPr>
        <w:t xml:space="preserve">Australia, India, Kenya, Mauritius, Oman, Singapore and South Africa Indonesia, Malaysia, Sri Lanka, Yemen, Tanzania, </w:t>
      </w:r>
      <w:r>
        <w:rPr>
          <w:rFonts w:ascii="Times New Roman" w:hAnsi="Times New Roman" w:cs="Times New Roman"/>
          <w:sz w:val="16"/>
          <w:szCs w:val="16"/>
        </w:rPr>
        <w:t xml:space="preserve">      </w:t>
      </w:r>
    </w:p>
    <w:p w:rsidR="009B786B" w:rsidRDefault="009B786B" w:rsidP="009015FF">
      <w:pPr>
        <w:pStyle w:val="FootnoteText"/>
      </w:pPr>
      <w:r>
        <w:rPr>
          <w:rFonts w:ascii="Times New Roman" w:hAnsi="Times New Roman" w:cs="Times New Roman"/>
          <w:sz w:val="16"/>
          <w:szCs w:val="16"/>
        </w:rPr>
        <w:t xml:space="preserve">   </w:t>
      </w:r>
      <w:r w:rsidRPr="00CC5016">
        <w:rPr>
          <w:rFonts w:ascii="Times New Roman" w:hAnsi="Times New Roman" w:cs="Times New Roman"/>
          <w:sz w:val="16"/>
          <w:szCs w:val="16"/>
        </w:rPr>
        <w:t>Madagascar and Mozambique</w:t>
      </w:r>
    </w:p>
  </w:footnote>
  <w:footnote w:id="5">
    <w:p w:rsidR="009B786B" w:rsidRDefault="009B786B">
      <w:pPr>
        <w:pStyle w:val="FootnoteText"/>
      </w:pPr>
      <w:r>
        <w:rPr>
          <w:rStyle w:val="FootnoteReference"/>
        </w:rPr>
        <w:footnoteRef/>
      </w:r>
      <w:r>
        <w:t xml:space="preserve"> </w:t>
      </w:r>
      <w:r>
        <w:rPr>
          <w:rFonts w:ascii="Times New Roman" w:hAnsi="Times New Roman" w:cs="Times New Roman"/>
          <w:sz w:val="16"/>
          <w:szCs w:val="16"/>
        </w:rPr>
        <w:t>Previously</w:t>
      </w:r>
      <w:r w:rsidRPr="00CC5016">
        <w:rPr>
          <w:rFonts w:ascii="Times New Roman" w:hAnsi="Times New Roman" w:cs="Times New Roman"/>
          <w:sz w:val="16"/>
          <w:szCs w:val="16"/>
        </w:rPr>
        <w:t xml:space="preserve"> known as</w:t>
      </w:r>
      <w:r>
        <w:rPr>
          <w:rFonts w:ascii="Times New Roman" w:hAnsi="Times New Roman" w:cs="Times New Roman"/>
          <w:sz w:val="16"/>
          <w:szCs w:val="16"/>
        </w:rPr>
        <w:t xml:space="preserve">  </w:t>
      </w:r>
      <w:r w:rsidRPr="009B7A2B">
        <w:rPr>
          <w:rFonts w:ascii="Times New Roman" w:hAnsi="Times New Roman" w:cs="Times New Roman"/>
          <w:sz w:val="16"/>
          <w:szCs w:val="16"/>
        </w:rPr>
        <w:t>Indian Ocean Rim –Association For Regional Cooperation (IOR-ARC )</w:t>
      </w:r>
    </w:p>
  </w:footnote>
  <w:footnote w:id="6">
    <w:p w:rsidR="009B786B" w:rsidRDefault="009B786B" w:rsidP="009015FF">
      <w:pPr>
        <w:pStyle w:val="FootnoteText"/>
        <w:rPr>
          <w:rFonts w:ascii="Times New Roman" w:hAnsi="Times New Roman" w:cs="Times New Roman"/>
          <w:sz w:val="16"/>
          <w:szCs w:val="16"/>
        </w:rPr>
      </w:pPr>
      <w:r w:rsidRPr="002A2D98">
        <w:rPr>
          <w:rStyle w:val="FootnoteReference"/>
        </w:rPr>
        <w:footnoteRef/>
      </w:r>
      <w:r>
        <w:t xml:space="preserve"> </w:t>
      </w:r>
      <w:r w:rsidRPr="00CC5016">
        <w:rPr>
          <w:rFonts w:ascii="Times New Roman" w:hAnsi="Times New Roman" w:cs="Times New Roman"/>
          <w:sz w:val="16"/>
          <w:szCs w:val="16"/>
        </w:rPr>
        <w:t xml:space="preserve">Australia, </w:t>
      </w:r>
      <w:r>
        <w:rPr>
          <w:rFonts w:ascii="Times New Roman" w:hAnsi="Times New Roman" w:cs="Times New Roman"/>
          <w:sz w:val="16"/>
          <w:szCs w:val="16"/>
        </w:rPr>
        <w:t xml:space="preserve">Bangladesh, Comoros, </w:t>
      </w:r>
      <w:r w:rsidRPr="00CC5016">
        <w:rPr>
          <w:rFonts w:ascii="Times New Roman" w:hAnsi="Times New Roman" w:cs="Times New Roman"/>
          <w:sz w:val="16"/>
          <w:szCs w:val="16"/>
        </w:rPr>
        <w:t xml:space="preserve">India, Indonesia </w:t>
      </w:r>
      <w:r>
        <w:rPr>
          <w:rFonts w:ascii="Times New Roman" w:hAnsi="Times New Roman" w:cs="Times New Roman"/>
          <w:sz w:val="16"/>
          <w:szCs w:val="16"/>
        </w:rPr>
        <w:t>,Iran ,</w:t>
      </w:r>
      <w:r w:rsidRPr="00CC5016">
        <w:rPr>
          <w:rFonts w:ascii="Times New Roman" w:hAnsi="Times New Roman" w:cs="Times New Roman"/>
          <w:sz w:val="16"/>
          <w:szCs w:val="16"/>
        </w:rPr>
        <w:t>Kenya,</w:t>
      </w:r>
      <w:r w:rsidRPr="009B6DBC">
        <w:rPr>
          <w:rFonts w:ascii="Times New Roman" w:hAnsi="Times New Roman" w:cs="Times New Roman"/>
          <w:sz w:val="16"/>
          <w:szCs w:val="16"/>
        </w:rPr>
        <w:t xml:space="preserve"> </w:t>
      </w:r>
      <w:r w:rsidRPr="00CC5016">
        <w:rPr>
          <w:rFonts w:ascii="Times New Roman" w:hAnsi="Times New Roman" w:cs="Times New Roman"/>
          <w:sz w:val="16"/>
          <w:szCs w:val="16"/>
        </w:rPr>
        <w:t>Madagascar</w:t>
      </w:r>
      <w:r>
        <w:rPr>
          <w:rFonts w:ascii="Times New Roman" w:hAnsi="Times New Roman" w:cs="Times New Roman"/>
          <w:sz w:val="16"/>
          <w:szCs w:val="16"/>
        </w:rPr>
        <w:t>,</w:t>
      </w:r>
      <w:r w:rsidRPr="00CC5016">
        <w:rPr>
          <w:rFonts w:ascii="Times New Roman" w:hAnsi="Times New Roman" w:cs="Times New Roman"/>
          <w:sz w:val="16"/>
          <w:szCs w:val="16"/>
        </w:rPr>
        <w:t xml:space="preserve"> Malaysia, Mauritius,</w:t>
      </w:r>
      <w:r w:rsidRPr="009B6DBC">
        <w:rPr>
          <w:rFonts w:ascii="Times New Roman" w:hAnsi="Times New Roman" w:cs="Times New Roman"/>
          <w:sz w:val="16"/>
          <w:szCs w:val="16"/>
        </w:rPr>
        <w:t xml:space="preserve"> </w:t>
      </w:r>
      <w:r w:rsidRPr="00CC5016">
        <w:rPr>
          <w:rFonts w:ascii="Times New Roman" w:hAnsi="Times New Roman" w:cs="Times New Roman"/>
          <w:sz w:val="16"/>
          <w:szCs w:val="16"/>
        </w:rPr>
        <w:t>Mozambique</w:t>
      </w:r>
      <w:r>
        <w:rPr>
          <w:rFonts w:ascii="Times New Roman" w:hAnsi="Times New Roman" w:cs="Times New Roman"/>
          <w:sz w:val="16"/>
          <w:szCs w:val="16"/>
        </w:rPr>
        <w:t>,</w:t>
      </w:r>
      <w:r w:rsidRPr="00CC5016">
        <w:rPr>
          <w:rFonts w:ascii="Times New Roman" w:hAnsi="Times New Roman" w:cs="Times New Roman"/>
          <w:sz w:val="16"/>
          <w:szCs w:val="16"/>
        </w:rPr>
        <w:t xml:space="preserve"> Oman, </w:t>
      </w:r>
      <w:r>
        <w:rPr>
          <w:rFonts w:ascii="Times New Roman" w:hAnsi="Times New Roman" w:cs="Times New Roman"/>
          <w:sz w:val="16"/>
          <w:szCs w:val="16"/>
        </w:rPr>
        <w:t xml:space="preserve">Seychelles, </w:t>
      </w:r>
    </w:p>
    <w:p w:rsidR="009B786B" w:rsidRDefault="009B786B" w:rsidP="009015FF">
      <w:pPr>
        <w:pStyle w:val="FootnoteText"/>
      </w:pPr>
      <w:r>
        <w:rPr>
          <w:rFonts w:ascii="Times New Roman" w:hAnsi="Times New Roman" w:cs="Times New Roman"/>
          <w:sz w:val="16"/>
          <w:szCs w:val="16"/>
        </w:rPr>
        <w:t xml:space="preserve">   Singapore ,</w:t>
      </w:r>
      <w:r w:rsidRPr="00CC5016">
        <w:rPr>
          <w:rFonts w:ascii="Times New Roman" w:hAnsi="Times New Roman" w:cs="Times New Roman"/>
          <w:sz w:val="16"/>
          <w:szCs w:val="16"/>
        </w:rPr>
        <w:t xml:space="preserve"> </w:t>
      </w:r>
      <w:r>
        <w:rPr>
          <w:rFonts w:ascii="Times New Roman" w:hAnsi="Times New Roman" w:cs="Times New Roman"/>
          <w:sz w:val="16"/>
          <w:szCs w:val="16"/>
        </w:rPr>
        <w:t xml:space="preserve">Somalia , </w:t>
      </w:r>
      <w:r w:rsidRPr="00CC5016">
        <w:rPr>
          <w:rFonts w:ascii="Times New Roman" w:hAnsi="Times New Roman" w:cs="Times New Roman"/>
          <w:sz w:val="16"/>
          <w:szCs w:val="16"/>
        </w:rPr>
        <w:t xml:space="preserve">South Africa, Sri Lanka, Tanzania, </w:t>
      </w:r>
      <w:r>
        <w:rPr>
          <w:rFonts w:ascii="Times New Roman" w:hAnsi="Times New Roman" w:cs="Times New Roman"/>
          <w:sz w:val="16"/>
          <w:szCs w:val="16"/>
        </w:rPr>
        <w:t>Thailand</w:t>
      </w:r>
      <w:r w:rsidRPr="00CC5016">
        <w:rPr>
          <w:rFonts w:ascii="Times New Roman" w:hAnsi="Times New Roman" w:cs="Times New Roman"/>
          <w:sz w:val="16"/>
          <w:szCs w:val="16"/>
        </w:rPr>
        <w:t>,</w:t>
      </w:r>
      <w:r>
        <w:rPr>
          <w:rFonts w:ascii="Times New Roman" w:hAnsi="Times New Roman" w:cs="Times New Roman"/>
          <w:sz w:val="16"/>
          <w:szCs w:val="16"/>
        </w:rPr>
        <w:t xml:space="preserve"> UAE </w:t>
      </w:r>
      <w:r w:rsidRPr="00CC5016">
        <w:rPr>
          <w:rFonts w:ascii="Times New Roman" w:hAnsi="Times New Roman" w:cs="Times New Roman"/>
          <w:sz w:val="16"/>
          <w:szCs w:val="16"/>
        </w:rPr>
        <w:t>and Yemen</w:t>
      </w:r>
    </w:p>
  </w:footnote>
  <w:footnote w:id="7">
    <w:p w:rsidR="009B786B" w:rsidRPr="00997B70" w:rsidRDefault="009B786B" w:rsidP="0038602B">
      <w:pPr>
        <w:pStyle w:val="FootnoteText"/>
        <w:rPr>
          <w:rFonts w:ascii="Times New Roman" w:hAnsi="Times New Roman" w:cs="Times New Roman"/>
          <w:sz w:val="16"/>
          <w:szCs w:val="16"/>
        </w:rPr>
      </w:pPr>
      <w:r w:rsidRPr="00070280">
        <w:rPr>
          <w:rStyle w:val="FootnoteReference"/>
          <w:rFonts w:asciiTheme="majorBidi" w:hAnsiTheme="majorBidi"/>
        </w:rPr>
        <w:footnoteRef/>
      </w:r>
      <w:r w:rsidRPr="00070280">
        <w:rPr>
          <w:rFonts w:asciiTheme="majorBidi" w:hAnsiTheme="majorBidi" w:cs="Times New Roman"/>
        </w:rPr>
        <w:t xml:space="preserve"> </w:t>
      </w:r>
      <w:r w:rsidRPr="00997B70">
        <w:rPr>
          <w:rFonts w:ascii="Times New Roman" w:hAnsi="Times New Roman" w:cs="Times New Roman"/>
          <w:sz w:val="16"/>
          <w:szCs w:val="16"/>
        </w:rPr>
        <w:t xml:space="preserve">Average tariff rate (%) ; </w:t>
      </w:r>
      <w:r w:rsidRPr="00CC5016">
        <w:rPr>
          <w:rFonts w:ascii="Times New Roman" w:hAnsi="Times New Roman" w:cs="Times New Roman"/>
          <w:sz w:val="16"/>
          <w:szCs w:val="16"/>
        </w:rPr>
        <w:t>Australia</w:t>
      </w:r>
      <w:r>
        <w:rPr>
          <w:rFonts w:ascii="Times New Roman" w:hAnsi="Times New Roman" w:cs="Times New Roman"/>
          <w:sz w:val="16"/>
          <w:szCs w:val="16"/>
        </w:rPr>
        <w:t xml:space="preserve"> (</w:t>
      </w:r>
      <w:r w:rsidRPr="00997B70">
        <w:rPr>
          <w:rFonts w:ascii="Times New Roman" w:hAnsi="Times New Roman" w:cs="Times New Roman"/>
          <w:sz w:val="16"/>
          <w:szCs w:val="16"/>
        </w:rPr>
        <w:t>2</w:t>
      </w:r>
      <w:r>
        <w:rPr>
          <w:rFonts w:ascii="Times New Roman" w:hAnsi="Times New Roman" w:cs="Times New Roman"/>
          <w:sz w:val="16"/>
          <w:szCs w:val="16"/>
        </w:rPr>
        <w:t xml:space="preserve"> )</w:t>
      </w:r>
      <w:r w:rsidRPr="00CC5016">
        <w:rPr>
          <w:rFonts w:ascii="Times New Roman" w:hAnsi="Times New Roman" w:cs="Times New Roman"/>
          <w:sz w:val="16"/>
          <w:szCs w:val="16"/>
        </w:rPr>
        <w:t xml:space="preserve">, </w:t>
      </w:r>
      <w:r>
        <w:rPr>
          <w:rFonts w:ascii="Times New Roman" w:hAnsi="Times New Roman" w:cs="Times New Roman"/>
          <w:sz w:val="16"/>
          <w:szCs w:val="16"/>
        </w:rPr>
        <w:t>Bangladesh (</w:t>
      </w:r>
      <w:r w:rsidRPr="00997B70">
        <w:rPr>
          <w:rFonts w:ascii="Times New Roman" w:hAnsi="Times New Roman" w:cs="Times New Roman"/>
          <w:sz w:val="16"/>
          <w:szCs w:val="16"/>
        </w:rPr>
        <w:t>12.5</w:t>
      </w:r>
      <w:r>
        <w:rPr>
          <w:rFonts w:ascii="Times New Roman" w:hAnsi="Times New Roman" w:cs="Times New Roman"/>
          <w:sz w:val="16"/>
          <w:szCs w:val="16"/>
        </w:rPr>
        <w:t>), Comoros (</w:t>
      </w:r>
      <w:r w:rsidRPr="00997B70">
        <w:rPr>
          <w:rFonts w:ascii="Times New Roman" w:hAnsi="Times New Roman" w:cs="Times New Roman"/>
          <w:sz w:val="16"/>
          <w:szCs w:val="16"/>
        </w:rPr>
        <w:t>12.8</w:t>
      </w:r>
      <w:r>
        <w:rPr>
          <w:rFonts w:ascii="Times New Roman" w:hAnsi="Times New Roman" w:cs="Times New Roman"/>
          <w:sz w:val="16"/>
          <w:szCs w:val="16"/>
        </w:rPr>
        <w:t xml:space="preserve">), </w:t>
      </w:r>
      <w:r w:rsidRPr="00CC5016">
        <w:rPr>
          <w:rFonts w:ascii="Times New Roman" w:hAnsi="Times New Roman" w:cs="Times New Roman"/>
          <w:sz w:val="16"/>
          <w:szCs w:val="16"/>
        </w:rPr>
        <w:t>India</w:t>
      </w:r>
      <w:r>
        <w:rPr>
          <w:rFonts w:ascii="Times New Roman" w:hAnsi="Times New Roman" w:cs="Times New Roman"/>
          <w:sz w:val="16"/>
          <w:szCs w:val="16"/>
        </w:rPr>
        <w:t xml:space="preserve"> (</w:t>
      </w:r>
      <w:r w:rsidRPr="007D76E6">
        <w:rPr>
          <w:rFonts w:ascii="Times New Roman" w:hAnsi="Times New Roman" w:cs="Times New Roman"/>
          <w:sz w:val="16"/>
          <w:szCs w:val="16"/>
        </w:rPr>
        <w:t>12.8</w:t>
      </w:r>
      <w:r>
        <w:rPr>
          <w:rFonts w:ascii="Times New Roman" w:hAnsi="Times New Roman" w:cs="Times New Roman"/>
          <w:sz w:val="16"/>
          <w:szCs w:val="16"/>
        </w:rPr>
        <w:t>)</w:t>
      </w:r>
      <w:r w:rsidRPr="00CC5016">
        <w:rPr>
          <w:rFonts w:ascii="Times New Roman" w:hAnsi="Times New Roman" w:cs="Times New Roman"/>
          <w:sz w:val="16"/>
          <w:szCs w:val="16"/>
        </w:rPr>
        <w:t>, Indonesia</w:t>
      </w:r>
      <w:r>
        <w:rPr>
          <w:rFonts w:ascii="Times New Roman" w:hAnsi="Times New Roman" w:cs="Times New Roman"/>
          <w:sz w:val="16"/>
          <w:szCs w:val="16"/>
        </w:rPr>
        <w:t xml:space="preserve"> (</w:t>
      </w:r>
      <w:r w:rsidRPr="00997B70">
        <w:rPr>
          <w:rFonts w:ascii="Times New Roman" w:hAnsi="Times New Roman" w:cs="Times New Roman"/>
          <w:sz w:val="16"/>
          <w:szCs w:val="16"/>
        </w:rPr>
        <w:t>5</w:t>
      </w:r>
      <w:r>
        <w:rPr>
          <w:rFonts w:ascii="Times New Roman" w:hAnsi="Times New Roman" w:cs="Times New Roman"/>
          <w:sz w:val="16"/>
          <w:szCs w:val="16"/>
        </w:rPr>
        <w:t>)</w:t>
      </w:r>
      <w:r w:rsidRPr="00CC5016">
        <w:rPr>
          <w:rFonts w:ascii="Times New Roman" w:hAnsi="Times New Roman" w:cs="Times New Roman"/>
          <w:sz w:val="16"/>
          <w:szCs w:val="16"/>
        </w:rPr>
        <w:t xml:space="preserve"> </w:t>
      </w:r>
      <w:r>
        <w:rPr>
          <w:rFonts w:ascii="Times New Roman" w:hAnsi="Times New Roman" w:cs="Times New Roman"/>
          <w:sz w:val="16"/>
          <w:szCs w:val="16"/>
        </w:rPr>
        <w:t>,Iran (</w:t>
      </w:r>
      <w:r w:rsidRPr="00997B70">
        <w:rPr>
          <w:rFonts w:ascii="Times New Roman" w:hAnsi="Times New Roman" w:cs="Times New Roman"/>
          <w:sz w:val="16"/>
          <w:szCs w:val="16"/>
        </w:rPr>
        <w:t>25.5</w:t>
      </w:r>
      <w:r>
        <w:rPr>
          <w:rFonts w:ascii="Times New Roman" w:hAnsi="Times New Roman" w:cs="Times New Roman"/>
          <w:sz w:val="16"/>
          <w:szCs w:val="16"/>
        </w:rPr>
        <w:t xml:space="preserve">) , </w:t>
      </w:r>
      <w:r w:rsidRPr="00CC5016">
        <w:rPr>
          <w:rFonts w:ascii="Times New Roman" w:hAnsi="Times New Roman" w:cs="Times New Roman"/>
          <w:sz w:val="16"/>
          <w:szCs w:val="16"/>
        </w:rPr>
        <w:t>Kenya</w:t>
      </w:r>
      <w:r>
        <w:rPr>
          <w:rFonts w:ascii="Times New Roman" w:hAnsi="Times New Roman" w:cs="Times New Roman"/>
          <w:sz w:val="16"/>
          <w:szCs w:val="16"/>
        </w:rPr>
        <w:t xml:space="preserve"> (</w:t>
      </w:r>
      <w:r w:rsidRPr="00997B70">
        <w:rPr>
          <w:rFonts w:ascii="Times New Roman" w:hAnsi="Times New Roman" w:cs="Times New Roman"/>
          <w:sz w:val="16"/>
          <w:szCs w:val="16"/>
        </w:rPr>
        <w:t>9.2</w:t>
      </w:r>
      <w:r>
        <w:rPr>
          <w:rFonts w:ascii="Times New Roman" w:hAnsi="Times New Roman" w:cs="Times New Roman"/>
          <w:sz w:val="16"/>
          <w:szCs w:val="16"/>
        </w:rPr>
        <w:t>)</w:t>
      </w:r>
      <w:r w:rsidRPr="00CC5016">
        <w:rPr>
          <w:rFonts w:ascii="Times New Roman" w:hAnsi="Times New Roman" w:cs="Times New Roman"/>
          <w:sz w:val="16"/>
          <w:szCs w:val="16"/>
        </w:rPr>
        <w:t>,</w:t>
      </w:r>
      <w:r w:rsidRPr="009B6DBC">
        <w:rPr>
          <w:rFonts w:ascii="Times New Roman" w:hAnsi="Times New Roman" w:cs="Times New Roman"/>
          <w:sz w:val="16"/>
          <w:szCs w:val="16"/>
        </w:rPr>
        <w:t xml:space="preserve"> </w:t>
      </w:r>
      <w:r w:rsidRPr="00CC5016">
        <w:rPr>
          <w:rFonts w:ascii="Times New Roman" w:hAnsi="Times New Roman" w:cs="Times New Roman"/>
          <w:sz w:val="16"/>
          <w:szCs w:val="16"/>
        </w:rPr>
        <w:t>Madagascar</w:t>
      </w:r>
      <w:r>
        <w:rPr>
          <w:rFonts w:ascii="Times New Roman" w:hAnsi="Times New Roman" w:cs="Times New Roman"/>
          <w:sz w:val="16"/>
          <w:szCs w:val="16"/>
        </w:rPr>
        <w:t xml:space="preserve"> (</w:t>
      </w:r>
      <w:r w:rsidRPr="00997B70">
        <w:rPr>
          <w:rFonts w:ascii="Times New Roman" w:hAnsi="Times New Roman" w:cs="Times New Roman"/>
          <w:sz w:val="16"/>
          <w:szCs w:val="16"/>
        </w:rPr>
        <w:t>7.6</w:t>
      </w:r>
      <w:r>
        <w:rPr>
          <w:rFonts w:ascii="Times New Roman" w:hAnsi="Times New Roman" w:cs="Times New Roman"/>
          <w:sz w:val="16"/>
          <w:szCs w:val="16"/>
        </w:rPr>
        <w:t>),</w:t>
      </w:r>
      <w:r w:rsidRPr="00CC5016">
        <w:rPr>
          <w:rFonts w:ascii="Times New Roman" w:hAnsi="Times New Roman" w:cs="Times New Roman"/>
          <w:sz w:val="16"/>
          <w:szCs w:val="16"/>
        </w:rPr>
        <w:t xml:space="preserve"> Malaysia</w:t>
      </w:r>
      <w:r>
        <w:rPr>
          <w:rFonts w:ascii="Times New Roman" w:hAnsi="Times New Roman" w:cs="Times New Roman"/>
          <w:sz w:val="16"/>
          <w:szCs w:val="16"/>
        </w:rPr>
        <w:t xml:space="preserve"> (</w:t>
      </w:r>
      <w:r w:rsidRPr="00997B70">
        <w:rPr>
          <w:rFonts w:ascii="Times New Roman" w:hAnsi="Times New Roman" w:cs="Times New Roman"/>
          <w:sz w:val="16"/>
          <w:szCs w:val="16"/>
        </w:rPr>
        <w:t>4.5</w:t>
      </w:r>
      <w:r>
        <w:rPr>
          <w:rFonts w:ascii="Times New Roman" w:hAnsi="Times New Roman" w:cs="Times New Roman"/>
          <w:sz w:val="16"/>
          <w:szCs w:val="16"/>
        </w:rPr>
        <w:t>)</w:t>
      </w:r>
      <w:r w:rsidRPr="00CC5016">
        <w:rPr>
          <w:rFonts w:ascii="Times New Roman" w:hAnsi="Times New Roman" w:cs="Times New Roman"/>
          <w:sz w:val="16"/>
          <w:szCs w:val="16"/>
        </w:rPr>
        <w:t>, Mauritius</w:t>
      </w:r>
      <w:r>
        <w:rPr>
          <w:rFonts w:ascii="Times New Roman" w:hAnsi="Times New Roman" w:cs="Times New Roman"/>
          <w:sz w:val="16"/>
          <w:szCs w:val="16"/>
        </w:rPr>
        <w:t xml:space="preserve"> (</w:t>
      </w:r>
      <w:r w:rsidRPr="00997B70">
        <w:rPr>
          <w:rFonts w:ascii="Times New Roman" w:hAnsi="Times New Roman" w:cs="Times New Roman"/>
          <w:sz w:val="16"/>
          <w:szCs w:val="16"/>
        </w:rPr>
        <w:t>0.6</w:t>
      </w:r>
      <w:r>
        <w:rPr>
          <w:rFonts w:ascii="Times New Roman" w:hAnsi="Times New Roman" w:cs="Times New Roman"/>
          <w:sz w:val="16"/>
          <w:szCs w:val="16"/>
        </w:rPr>
        <w:t>)</w:t>
      </w:r>
      <w:r w:rsidRPr="00CC5016">
        <w:rPr>
          <w:rFonts w:ascii="Times New Roman" w:hAnsi="Times New Roman" w:cs="Times New Roman"/>
          <w:sz w:val="16"/>
          <w:szCs w:val="16"/>
        </w:rPr>
        <w:t>,</w:t>
      </w:r>
      <w:r w:rsidRPr="009B6DBC">
        <w:rPr>
          <w:rFonts w:ascii="Times New Roman" w:hAnsi="Times New Roman" w:cs="Times New Roman"/>
          <w:sz w:val="16"/>
          <w:szCs w:val="16"/>
        </w:rPr>
        <w:t xml:space="preserve"> </w:t>
      </w:r>
      <w:r w:rsidRPr="00CC5016">
        <w:rPr>
          <w:rFonts w:ascii="Times New Roman" w:hAnsi="Times New Roman" w:cs="Times New Roman"/>
          <w:sz w:val="16"/>
          <w:szCs w:val="16"/>
        </w:rPr>
        <w:t>Mozambique</w:t>
      </w:r>
      <w:r>
        <w:rPr>
          <w:rFonts w:ascii="Times New Roman" w:hAnsi="Times New Roman" w:cs="Times New Roman"/>
          <w:sz w:val="16"/>
          <w:szCs w:val="16"/>
        </w:rPr>
        <w:t xml:space="preserve"> (</w:t>
      </w:r>
      <w:r w:rsidRPr="00997B70">
        <w:rPr>
          <w:rFonts w:ascii="Times New Roman" w:hAnsi="Times New Roman" w:cs="Times New Roman"/>
          <w:sz w:val="16"/>
          <w:szCs w:val="16"/>
        </w:rPr>
        <w:t>7.1</w:t>
      </w:r>
      <w:r>
        <w:rPr>
          <w:rFonts w:ascii="Times New Roman" w:hAnsi="Times New Roman" w:cs="Times New Roman"/>
          <w:sz w:val="16"/>
          <w:szCs w:val="16"/>
        </w:rPr>
        <w:t>),</w:t>
      </w:r>
      <w:r w:rsidRPr="00CC5016">
        <w:rPr>
          <w:rFonts w:ascii="Times New Roman" w:hAnsi="Times New Roman" w:cs="Times New Roman"/>
          <w:sz w:val="16"/>
          <w:szCs w:val="16"/>
        </w:rPr>
        <w:t xml:space="preserve"> Oman</w:t>
      </w:r>
      <w:r>
        <w:rPr>
          <w:rFonts w:ascii="Times New Roman" w:hAnsi="Times New Roman" w:cs="Times New Roman"/>
          <w:sz w:val="16"/>
          <w:szCs w:val="16"/>
        </w:rPr>
        <w:t xml:space="preserve"> (</w:t>
      </w:r>
      <w:r w:rsidRPr="00997B70">
        <w:rPr>
          <w:rFonts w:ascii="Times New Roman" w:hAnsi="Times New Roman" w:cs="Times New Roman"/>
          <w:sz w:val="16"/>
          <w:szCs w:val="16"/>
        </w:rPr>
        <w:t>4.6</w:t>
      </w:r>
      <w:r>
        <w:rPr>
          <w:rFonts w:ascii="Times New Roman" w:hAnsi="Times New Roman" w:cs="Times New Roman"/>
          <w:sz w:val="16"/>
          <w:szCs w:val="16"/>
        </w:rPr>
        <w:t>)</w:t>
      </w:r>
      <w:r w:rsidRPr="00CC5016">
        <w:rPr>
          <w:rFonts w:ascii="Times New Roman" w:hAnsi="Times New Roman" w:cs="Times New Roman"/>
          <w:sz w:val="16"/>
          <w:szCs w:val="16"/>
        </w:rPr>
        <w:t xml:space="preserve">, </w:t>
      </w:r>
      <w:r>
        <w:rPr>
          <w:rFonts w:ascii="Times New Roman" w:hAnsi="Times New Roman" w:cs="Times New Roman"/>
          <w:sz w:val="16"/>
          <w:szCs w:val="16"/>
        </w:rPr>
        <w:t>Seychelles (</w:t>
      </w:r>
      <w:r w:rsidRPr="00997B70">
        <w:rPr>
          <w:rFonts w:ascii="Times New Roman" w:hAnsi="Times New Roman" w:cs="Times New Roman"/>
          <w:sz w:val="16"/>
          <w:szCs w:val="16"/>
        </w:rPr>
        <w:t>2.4</w:t>
      </w:r>
      <w:r>
        <w:rPr>
          <w:rFonts w:ascii="Times New Roman" w:hAnsi="Times New Roman" w:cs="Times New Roman"/>
          <w:sz w:val="16"/>
          <w:szCs w:val="16"/>
        </w:rPr>
        <w:t>)</w:t>
      </w:r>
      <w:r w:rsidRPr="00CC5016">
        <w:rPr>
          <w:rFonts w:ascii="Times New Roman" w:hAnsi="Times New Roman" w:cs="Times New Roman"/>
          <w:sz w:val="16"/>
          <w:szCs w:val="16"/>
        </w:rPr>
        <w:t xml:space="preserve"> </w:t>
      </w:r>
      <w:r>
        <w:rPr>
          <w:rFonts w:ascii="Times New Roman" w:hAnsi="Times New Roman" w:cs="Times New Roman"/>
          <w:sz w:val="16"/>
          <w:szCs w:val="16"/>
        </w:rPr>
        <w:t>, Singapore(</w:t>
      </w:r>
      <w:r w:rsidRPr="007D76E6">
        <w:rPr>
          <w:rFonts w:ascii="Times New Roman" w:hAnsi="Times New Roman" w:cs="Times New Roman"/>
          <w:sz w:val="16"/>
          <w:szCs w:val="16"/>
        </w:rPr>
        <w:t>0</w:t>
      </w:r>
      <w:r>
        <w:rPr>
          <w:rFonts w:ascii="Times New Roman" w:hAnsi="Times New Roman" w:cs="Times New Roman"/>
          <w:sz w:val="16"/>
          <w:szCs w:val="16"/>
        </w:rPr>
        <w:t>) ,</w:t>
      </w:r>
      <w:r w:rsidRPr="00CC5016">
        <w:rPr>
          <w:rFonts w:ascii="Times New Roman" w:hAnsi="Times New Roman" w:cs="Times New Roman"/>
          <w:sz w:val="16"/>
          <w:szCs w:val="16"/>
        </w:rPr>
        <w:t xml:space="preserve"> </w:t>
      </w:r>
      <w:r>
        <w:rPr>
          <w:rFonts w:ascii="Times New Roman" w:hAnsi="Times New Roman" w:cs="Times New Roman"/>
          <w:sz w:val="16"/>
          <w:szCs w:val="16"/>
        </w:rPr>
        <w:t xml:space="preserve">Somalia(NA) , </w:t>
      </w:r>
      <w:r w:rsidRPr="00CC5016">
        <w:rPr>
          <w:rFonts w:ascii="Times New Roman" w:hAnsi="Times New Roman" w:cs="Times New Roman"/>
          <w:sz w:val="16"/>
          <w:szCs w:val="16"/>
        </w:rPr>
        <w:t>South Africa</w:t>
      </w:r>
      <w:r>
        <w:rPr>
          <w:rFonts w:ascii="Times New Roman" w:hAnsi="Times New Roman" w:cs="Times New Roman"/>
          <w:sz w:val="16"/>
          <w:szCs w:val="16"/>
        </w:rPr>
        <w:t xml:space="preserve"> (</w:t>
      </w:r>
      <w:r w:rsidRPr="00997B70">
        <w:rPr>
          <w:rFonts w:ascii="Times New Roman" w:hAnsi="Times New Roman" w:cs="Times New Roman"/>
          <w:sz w:val="16"/>
          <w:szCs w:val="16"/>
        </w:rPr>
        <w:t>6.3</w:t>
      </w:r>
      <w:r>
        <w:rPr>
          <w:rFonts w:ascii="Times New Roman" w:hAnsi="Times New Roman" w:cs="Times New Roman"/>
          <w:sz w:val="16"/>
          <w:szCs w:val="16"/>
        </w:rPr>
        <w:t>)</w:t>
      </w:r>
      <w:r w:rsidRPr="00CC5016">
        <w:rPr>
          <w:rFonts w:ascii="Times New Roman" w:hAnsi="Times New Roman" w:cs="Times New Roman"/>
          <w:sz w:val="16"/>
          <w:szCs w:val="16"/>
        </w:rPr>
        <w:t>, Sri Lanka</w:t>
      </w:r>
      <w:r>
        <w:rPr>
          <w:rFonts w:ascii="Times New Roman" w:hAnsi="Times New Roman" w:cs="Times New Roman"/>
          <w:sz w:val="16"/>
          <w:szCs w:val="16"/>
        </w:rPr>
        <w:t xml:space="preserve"> (</w:t>
      </w:r>
      <w:r w:rsidRPr="00997B70">
        <w:rPr>
          <w:rFonts w:ascii="Times New Roman" w:hAnsi="Times New Roman" w:cs="Times New Roman"/>
          <w:sz w:val="16"/>
          <w:szCs w:val="16"/>
        </w:rPr>
        <w:t>11.6</w:t>
      </w:r>
      <w:r>
        <w:rPr>
          <w:rFonts w:ascii="Times New Roman" w:hAnsi="Times New Roman" w:cs="Times New Roman"/>
          <w:sz w:val="16"/>
          <w:szCs w:val="16"/>
        </w:rPr>
        <w:t>)</w:t>
      </w:r>
      <w:r w:rsidRPr="00CC5016">
        <w:rPr>
          <w:rFonts w:ascii="Times New Roman" w:hAnsi="Times New Roman" w:cs="Times New Roman"/>
          <w:sz w:val="16"/>
          <w:szCs w:val="16"/>
        </w:rPr>
        <w:t>, Tanzania</w:t>
      </w:r>
      <w:r>
        <w:rPr>
          <w:rFonts w:ascii="Times New Roman" w:hAnsi="Times New Roman" w:cs="Times New Roman"/>
          <w:sz w:val="16"/>
          <w:szCs w:val="16"/>
        </w:rPr>
        <w:t xml:space="preserve"> (</w:t>
      </w:r>
      <w:r w:rsidRPr="00997B70">
        <w:rPr>
          <w:rFonts w:ascii="Times New Roman" w:hAnsi="Times New Roman" w:cs="Times New Roman"/>
          <w:sz w:val="16"/>
          <w:szCs w:val="16"/>
        </w:rPr>
        <w:t>9.7</w:t>
      </w:r>
      <w:r>
        <w:rPr>
          <w:rFonts w:ascii="Times New Roman" w:hAnsi="Times New Roman" w:cs="Times New Roman"/>
          <w:sz w:val="16"/>
          <w:szCs w:val="16"/>
        </w:rPr>
        <w:t>)</w:t>
      </w:r>
      <w:r w:rsidRPr="00CC5016">
        <w:rPr>
          <w:rFonts w:ascii="Times New Roman" w:hAnsi="Times New Roman" w:cs="Times New Roman"/>
          <w:sz w:val="16"/>
          <w:szCs w:val="16"/>
        </w:rPr>
        <w:t xml:space="preserve">, </w:t>
      </w:r>
      <w:r>
        <w:rPr>
          <w:rFonts w:ascii="Times New Roman" w:hAnsi="Times New Roman" w:cs="Times New Roman"/>
          <w:sz w:val="16"/>
          <w:szCs w:val="16"/>
        </w:rPr>
        <w:t>Thailand (</w:t>
      </w:r>
      <w:r w:rsidRPr="00997B70">
        <w:rPr>
          <w:rFonts w:ascii="Times New Roman" w:hAnsi="Times New Roman" w:cs="Times New Roman"/>
          <w:sz w:val="16"/>
          <w:szCs w:val="16"/>
        </w:rPr>
        <w:t>7.1</w:t>
      </w:r>
      <w:r>
        <w:rPr>
          <w:rFonts w:ascii="Times New Roman" w:hAnsi="Times New Roman" w:cs="Times New Roman"/>
          <w:sz w:val="16"/>
          <w:szCs w:val="16"/>
        </w:rPr>
        <w:t>)</w:t>
      </w:r>
      <w:r w:rsidRPr="00CC5016">
        <w:rPr>
          <w:rFonts w:ascii="Times New Roman" w:hAnsi="Times New Roman" w:cs="Times New Roman"/>
          <w:sz w:val="16"/>
          <w:szCs w:val="16"/>
        </w:rPr>
        <w:t>,</w:t>
      </w:r>
      <w:r>
        <w:rPr>
          <w:rFonts w:ascii="Times New Roman" w:hAnsi="Times New Roman" w:cs="Times New Roman"/>
          <w:sz w:val="16"/>
          <w:szCs w:val="16"/>
        </w:rPr>
        <w:t xml:space="preserve"> UAE (</w:t>
      </w:r>
      <w:r w:rsidRPr="00997B70">
        <w:rPr>
          <w:rFonts w:ascii="Times New Roman" w:hAnsi="Times New Roman" w:cs="Times New Roman"/>
          <w:sz w:val="16"/>
          <w:szCs w:val="16"/>
        </w:rPr>
        <w:t>4.5</w:t>
      </w:r>
      <w:r>
        <w:rPr>
          <w:rFonts w:ascii="Times New Roman" w:hAnsi="Times New Roman" w:cs="Times New Roman"/>
          <w:sz w:val="16"/>
          <w:szCs w:val="16"/>
        </w:rPr>
        <w:t xml:space="preserve">) </w:t>
      </w:r>
      <w:r w:rsidRPr="00CC5016">
        <w:rPr>
          <w:rFonts w:ascii="Times New Roman" w:hAnsi="Times New Roman" w:cs="Times New Roman"/>
          <w:sz w:val="16"/>
          <w:szCs w:val="16"/>
        </w:rPr>
        <w:t>and Yemen</w:t>
      </w:r>
      <w:r>
        <w:rPr>
          <w:rFonts w:ascii="Times New Roman" w:hAnsi="Times New Roman" w:cs="Times New Roman"/>
          <w:sz w:val="16"/>
          <w:szCs w:val="16"/>
        </w:rPr>
        <w:t xml:space="preserve"> (</w:t>
      </w:r>
      <w:r w:rsidRPr="00997B70">
        <w:rPr>
          <w:rFonts w:ascii="Times New Roman" w:hAnsi="Times New Roman" w:cs="Times New Roman"/>
          <w:sz w:val="16"/>
          <w:szCs w:val="16"/>
        </w:rPr>
        <w:t>6.9</w:t>
      </w:r>
      <w:r>
        <w:rPr>
          <w:rFonts w:ascii="Times New Roman" w:hAnsi="Times New Roman" w:cs="Times New Roman"/>
          <w:sz w:val="16"/>
          <w:szCs w:val="16"/>
        </w:rPr>
        <w:t>).</w:t>
      </w:r>
    </w:p>
    <w:p w:rsidR="009B786B" w:rsidRDefault="009B786B" w:rsidP="0038602B">
      <w:pPr>
        <w:pStyle w:val="FootnoteText"/>
      </w:pPr>
    </w:p>
  </w:footnote>
  <w:footnote w:id="8">
    <w:p w:rsidR="009B786B" w:rsidRDefault="009B786B" w:rsidP="0038602B">
      <w:pPr>
        <w:pStyle w:val="FootnoteText"/>
      </w:pPr>
      <w:r w:rsidRPr="002A2D98">
        <w:rPr>
          <w:rStyle w:val="FootnoteReference"/>
          <w:rFonts w:cs="Arial"/>
        </w:rPr>
        <w:footnoteRef/>
      </w:r>
      <w:r w:rsidRPr="00FC078A">
        <w:rPr>
          <w:rFonts w:asciiTheme="majorBidi" w:hAnsiTheme="majorBidi" w:cs="Times New Roman"/>
          <w:sz w:val="18"/>
          <w:szCs w:val="18"/>
        </w:rPr>
        <w:t xml:space="preserve"> Information on </w:t>
      </w:r>
      <w:r>
        <w:rPr>
          <w:rFonts w:asciiTheme="majorBidi" w:hAnsiTheme="majorBidi" w:cs="Times New Roman"/>
          <w:sz w:val="18"/>
          <w:szCs w:val="18"/>
        </w:rPr>
        <w:t xml:space="preserve">trade bloc </w:t>
      </w:r>
      <w:r w:rsidRPr="00FC078A">
        <w:rPr>
          <w:rFonts w:asciiTheme="majorBidi" w:hAnsiTheme="majorBidi" w:cs="Times New Roman"/>
          <w:sz w:val="18"/>
          <w:szCs w:val="18"/>
        </w:rPr>
        <w:t>intra-t</w:t>
      </w:r>
      <w:r>
        <w:rPr>
          <w:rFonts w:asciiTheme="majorBidi" w:hAnsiTheme="majorBidi" w:cs="Times New Roman"/>
          <w:sz w:val="18"/>
          <w:szCs w:val="18"/>
        </w:rPr>
        <w:t xml:space="preserve">rade in 2015 available through </w:t>
      </w:r>
      <w:proofErr w:type="spellStart"/>
      <w:r>
        <w:rPr>
          <w:rFonts w:asciiTheme="majorBidi" w:hAnsiTheme="majorBidi" w:cs="Times New Roman"/>
          <w:sz w:val="18"/>
          <w:szCs w:val="18"/>
        </w:rPr>
        <w:t>global</w:t>
      </w:r>
      <w:r w:rsidRPr="00FC078A">
        <w:rPr>
          <w:rFonts w:asciiTheme="majorBidi" w:hAnsiTheme="majorBidi" w:cs="Times New Roman"/>
          <w:sz w:val="18"/>
          <w:szCs w:val="18"/>
        </w:rPr>
        <w:t>EDGE</w:t>
      </w:r>
      <w:proofErr w:type="spellEnd"/>
      <w:r w:rsidRPr="00FC078A">
        <w:rPr>
          <w:rFonts w:asciiTheme="majorBidi" w:hAnsiTheme="majorBidi" w:cs="Times New Roman"/>
          <w:sz w:val="18"/>
          <w:szCs w:val="18"/>
        </w:rPr>
        <w:t xml:space="preserve"> interactive software </w:t>
      </w:r>
      <w:r>
        <w:rPr>
          <w:rFonts w:asciiTheme="majorBidi" w:hAnsiTheme="majorBidi" w:cs="Times New Roman"/>
          <w:sz w:val="18"/>
          <w:szCs w:val="18"/>
        </w:rPr>
        <w:t xml:space="preserve">managed by </w:t>
      </w:r>
      <w:hyperlink r:id="rId2" w:tgtFrame="_blank" w:history="1">
        <w:r w:rsidRPr="00FC078A">
          <w:rPr>
            <w:rFonts w:asciiTheme="majorBidi" w:hAnsiTheme="majorBidi" w:cs="Times New Roman"/>
            <w:sz w:val="18"/>
            <w:szCs w:val="18"/>
          </w:rPr>
          <w:t>Michigan State University</w:t>
        </w:r>
      </w:hyperlink>
      <w:r>
        <w:t xml:space="preserve"> </w:t>
      </w:r>
      <w:hyperlink r:id="rId3" w:history="1">
        <w:r w:rsidRPr="00425BC4">
          <w:rPr>
            <w:rStyle w:val="Hyperlink"/>
            <w:rFonts w:asciiTheme="majorBidi" w:hAnsiTheme="majorBidi"/>
            <w:color w:val="000000" w:themeColor="text1"/>
            <w:sz w:val="18"/>
            <w:szCs w:val="18"/>
          </w:rPr>
          <w:t>(https://globaledge.msu.edu/global-insights/by/trade-bloc)</w:t>
        </w:r>
      </w:hyperlink>
    </w:p>
  </w:footnote>
  <w:footnote w:id="9">
    <w:p w:rsidR="009B786B" w:rsidRDefault="009B786B" w:rsidP="00B33B41">
      <w:pPr>
        <w:pStyle w:val="FootnoteText"/>
        <w:ind w:right="108"/>
      </w:pPr>
      <w:r w:rsidRPr="002A2D98">
        <w:rPr>
          <w:rStyle w:val="FootnoteReference"/>
          <w:rFonts w:cs="Arial"/>
        </w:rPr>
        <w:footnoteRef/>
      </w:r>
      <w:r>
        <w:t xml:space="preserve"> </w:t>
      </w:r>
      <w:r w:rsidRPr="0055307E">
        <w:rPr>
          <w:rFonts w:asciiTheme="majorBidi" w:hAnsiTheme="majorBidi" w:cs="Times New Roman"/>
          <w:sz w:val="16"/>
          <w:szCs w:val="16"/>
        </w:rPr>
        <w:t>Calculation was done using</w:t>
      </w:r>
      <w:r w:rsidRPr="0055307E">
        <w:rPr>
          <w:sz w:val="16"/>
          <w:szCs w:val="16"/>
        </w:rPr>
        <w:t xml:space="preserve"> </w:t>
      </w:r>
      <w:r w:rsidRPr="0055307E">
        <w:rPr>
          <w:rFonts w:ascii="Times New Roman" w:hAnsi="Times New Roman" w:cs="Times New Roman"/>
          <w:bCs/>
          <w:sz w:val="16"/>
          <w:szCs w:val="16"/>
        </w:rPr>
        <w:t>[e</w:t>
      </w:r>
      <w:r w:rsidRPr="0055307E">
        <w:rPr>
          <w:rFonts w:ascii="Times New Roman" w:hAnsi="Times New Roman" w:cs="Times New Roman"/>
          <w:bCs/>
          <w:sz w:val="16"/>
          <w:szCs w:val="16"/>
          <w:vertAlign w:val="superscript"/>
        </w:rPr>
        <w:t xml:space="preserve">β RTA / (-TE) </w:t>
      </w:r>
      <w:r w:rsidRPr="0055307E">
        <w:rPr>
          <w:rFonts w:ascii="Times New Roman" w:hAnsi="Times New Roman" w:cs="Times New Roman"/>
          <w:bCs/>
          <w:sz w:val="16"/>
          <w:szCs w:val="16"/>
        </w:rPr>
        <w:t xml:space="preserve">−1] ×100.  </w:t>
      </w:r>
      <w:r w:rsidRPr="0055307E">
        <w:rPr>
          <w:rFonts w:asciiTheme="majorBidi" w:hAnsiTheme="majorBidi" w:cs="Times New Roman"/>
          <w:sz w:val="16"/>
          <w:szCs w:val="16"/>
        </w:rPr>
        <w:t xml:space="preserve">Read </w:t>
      </w:r>
      <w:r>
        <w:rPr>
          <w:rFonts w:asciiTheme="majorBidi" w:hAnsiTheme="majorBidi" w:cs="Times New Roman"/>
          <w:sz w:val="16"/>
          <w:szCs w:val="16"/>
        </w:rPr>
        <w:fldChar w:fldCharType="begin" w:fldLock="1"/>
      </w:r>
      <w:r>
        <w:rPr>
          <w:rFonts w:asciiTheme="majorBidi" w:hAnsiTheme="majorBidi" w:cs="Times New Roman"/>
          <w:sz w:val="16"/>
          <w:szCs w:val="16"/>
        </w:rPr>
        <w:instrText>ADDIN CSL_CITATION {"citationItems":[{"id":"ITEM-1","itemData":{"ISBN":"9287043671","author":[{"dropping-particle":"V","family":"Yotov","given":"Yoto","non-dropping-particle":"","parse-names":false,"suffix":""},{"dropping-particle":"","family":"Piermartini","given":"Roberta","non-dropping-particle":"","parse-names":false,"suffix":""},{"dropping-particle":"","family":"Monteiro","given":"José-Antonio","non-dropping-particle":"","parse-names":false,"suffix":""},{"dropping-particle":"","family":"Larch","given":"Mario","non-dropping-particle":"","parse-names":false,"suffix":""}],"id":"ITEM-1","issued":{"date-parts":[["2016"]]},"publisher":"World Trade Organization","title":"An advanced guide to trade policy analysis: The structural gravity model","type":"book"},"uris":["http://www.mendeley.com/documents/?uuid=f043c798-1e8e-4edc-a1d7-1525a6573508"]}],"mendeley":{"formattedCitation":"(Yotov et al., 2016)","manualFormatting":"more from Yotov et al. (2016)","plainTextFormattedCitation":"(Yotov et al., 2016)","previouslyFormattedCitation":"(Yotov et al., 2016)"},"properties":{"noteIndex":0},"schema":"https://github.com/citation-style-language/schema/raw/master/csl-citation.json"}</w:instrText>
      </w:r>
      <w:r>
        <w:rPr>
          <w:rFonts w:asciiTheme="majorBidi" w:hAnsiTheme="majorBidi" w:cs="Times New Roman"/>
          <w:sz w:val="16"/>
          <w:szCs w:val="16"/>
        </w:rPr>
        <w:fldChar w:fldCharType="separate"/>
      </w:r>
      <w:r>
        <w:rPr>
          <w:rFonts w:asciiTheme="majorBidi" w:hAnsiTheme="majorBidi" w:cs="Times New Roman"/>
          <w:noProof/>
          <w:sz w:val="16"/>
          <w:szCs w:val="16"/>
        </w:rPr>
        <w:t xml:space="preserve">more from </w:t>
      </w:r>
      <w:r w:rsidRPr="0055307E">
        <w:rPr>
          <w:rFonts w:asciiTheme="majorBidi" w:hAnsiTheme="majorBidi" w:cs="Times New Roman"/>
          <w:noProof/>
          <w:sz w:val="16"/>
          <w:szCs w:val="16"/>
        </w:rPr>
        <w:t>Yotov et al. (2016)</w:t>
      </w:r>
      <w:r>
        <w:rPr>
          <w:rFonts w:asciiTheme="majorBidi" w:hAnsiTheme="majorBidi" w:cs="Times New Roman"/>
          <w:sz w:val="16"/>
          <w:szCs w:val="16"/>
        </w:rPr>
        <w:fldChar w:fldCharType="end"/>
      </w:r>
      <w:r w:rsidRPr="0055307E">
        <w:rPr>
          <w:rFonts w:asciiTheme="majorBidi" w:hAnsiTheme="majorBidi" w:cs="Times New Roman"/>
          <w:sz w:val="16"/>
          <w:szCs w:val="16"/>
        </w:rPr>
        <w:t xml:space="preserve"> page 30 and </w:t>
      </w:r>
      <w:r>
        <w:rPr>
          <w:rFonts w:asciiTheme="majorBidi" w:hAnsiTheme="majorBidi" w:cs="Times New Roman"/>
          <w:sz w:val="16"/>
          <w:szCs w:val="16"/>
        </w:rPr>
        <w:fldChar w:fldCharType="begin" w:fldLock="1"/>
      </w:r>
      <w:r>
        <w:rPr>
          <w:rFonts w:asciiTheme="majorBidi" w:hAnsiTheme="majorBidi" w:cs="Times New Roman"/>
          <w:sz w:val="16"/>
          <w:szCs w:val="16"/>
        </w:rPr>
        <w:instrText>ADDIN CSL_CITATION {"citationItems":[{"id":"ITEM-1","itemData":{"ISSN":"1468-0327","author":[{"dropping-particle":"","family":"Felbermayr","given":"Gabriel","non-dropping-particle":"","parse-names":false,"suffix":""},{"dropping-particle":"","family":"Heid","given":"Benedikt","non-dropping-particle":"","parse-names":false,"suffix":""},{"dropping-particle":"","family":"Larch","given":"Mario","non-dropping-particle":"","parse-names":false,"suffix":""},{"dropping-particle":"","family":"Yalcin","given":"Erdal","non-dropping-particle":"","parse-names":false,"suffix":""}],"container-title":"Economic Policy","id":"ITEM-1","issue":"83","issued":{"date-parts":[["2015"]]},"page":"491-537","publisher":"Oxford University Press","title":"Macroeconomic potentials of transatlantic free trade: A high resolution perspective for Europe and the world","type":"article-journal","volume":"30"},"uris":["http://www.mendeley.com/documents/?uuid=6dd7f117-685a-442d-bfa0-f0b260dae824"]}],"mendeley":{"formattedCitation":"(Felbermayr et al., 2015)","manualFormatting":"Felbermayr et al. ( 2015)","plainTextFormattedCitation":"(Felbermayr et al., 2015)","previouslyFormattedCitation":"(Felbermayr et al., 2015)"},"properties":{"noteIndex":0},"schema":"https://github.com/citation-style-language/schema/raw/master/csl-citation.json"}</w:instrText>
      </w:r>
      <w:r>
        <w:rPr>
          <w:rFonts w:asciiTheme="majorBidi" w:hAnsiTheme="majorBidi" w:cs="Times New Roman"/>
          <w:sz w:val="16"/>
          <w:szCs w:val="16"/>
        </w:rPr>
        <w:fldChar w:fldCharType="separate"/>
      </w:r>
      <w:r w:rsidRPr="0055307E">
        <w:rPr>
          <w:rFonts w:asciiTheme="majorBidi" w:hAnsiTheme="majorBidi" w:cs="Times New Roman"/>
          <w:noProof/>
          <w:sz w:val="16"/>
          <w:szCs w:val="16"/>
        </w:rPr>
        <w:t>Felbermayr et al.</w:t>
      </w:r>
      <w:r>
        <w:rPr>
          <w:rFonts w:asciiTheme="majorBidi" w:hAnsiTheme="majorBidi" w:cs="Times New Roman"/>
          <w:noProof/>
          <w:sz w:val="16"/>
          <w:szCs w:val="16"/>
        </w:rPr>
        <w:t xml:space="preserve"> </w:t>
      </w:r>
      <w:r w:rsidRPr="0055307E">
        <w:rPr>
          <w:rFonts w:asciiTheme="majorBidi" w:hAnsiTheme="majorBidi" w:cs="Times New Roman"/>
          <w:noProof/>
          <w:sz w:val="16"/>
          <w:szCs w:val="16"/>
        </w:rPr>
        <w:t>( 2015)</w:t>
      </w:r>
      <w:r>
        <w:rPr>
          <w:rFonts w:asciiTheme="majorBidi" w:hAnsiTheme="majorBidi" w:cs="Times New Roman"/>
          <w:sz w:val="16"/>
          <w:szCs w:val="16"/>
        </w:rPr>
        <w:fldChar w:fldCharType="end"/>
      </w:r>
      <w:r w:rsidRPr="0055307E">
        <w:rPr>
          <w:rFonts w:asciiTheme="majorBidi" w:hAnsiTheme="majorBidi" w:cs="Times New Roman"/>
          <w:sz w:val="16"/>
          <w:szCs w:val="16"/>
        </w:rPr>
        <w:t xml:space="preserve"> page 1-10</w:t>
      </w:r>
    </w:p>
  </w:footnote>
  <w:footnote w:id="10">
    <w:p w:rsidR="009B786B" w:rsidRDefault="009B786B" w:rsidP="00B33B41">
      <w:pPr>
        <w:pStyle w:val="FootnoteText"/>
      </w:pPr>
      <w:r w:rsidRPr="002A2D98">
        <w:rPr>
          <w:rStyle w:val="FootnoteReference"/>
          <w:rFonts w:cs="Arial"/>
        </w:rPr>
        <w:footnoteRef/>
      </w:r>
      <w:r>
        <w:t xml:space="preserve"> </w:t>
      </w:r>
      <w:r w:rsidRPr="004349CF">
        <w:rPr>
          <w:rFonts w:asciiTheme="majorBidi" w:hAnsiTheme="majorBidi" w:cs="Times New Roman"/>
          <w:sz w:val="16"/>
          <w:szCs w:val="16"/>
        </w:rPr>
        <w:t xml:space="preserve">Jensen's inequality states that, for any convex function g, we have E[g(X)] ≥ g(E[X]). when applied to trade, Santos Silva &amp; </w:t>
      </w:r>
      <w:proofErr w:type="spellStart"/>
      <w:r w:rsidRPr="004349CF">
        <w:rPr>
          <w:rFonts w:asciiTheme="majorBidi" w:hAnsiTheme="majorBidi" w:cs="Times New Roman"/>
          <w:sz w:val="16"/>
          <w:szCs w:val="16"/>
        </w:rPr>
        <w:t>Tenreyro</w:t>
      </w:r>
      <w:proofErr w:type="spellEnd"/>
      <w:r w:rsidRPr="004349CF">
        <w:rPr>
          <w:rFonts w:asciiTheme="majorBidi" w:hAnsiTheme="majorBidi" w:cs="Times New Roman"/>
          <w:sz w:val="16"/>
          <w:szCs w:val="16"/>
        </w:rPr>
        <w:t>, (2006) explains that expected value of deriving the logarithm of a random variable is required to be different from the logarithm of its expected value.</w:t>
      </w:r>
    </w:p>
  </w:footnote>
  <w:footnote w:id="11">
    <w:p w:rsidR="009B786B" w:rsidRDefault="009B786B" w:rsidP="00B33B41">
      <w:pPr>
        <w:pStyle w:val="FootnoteText"/>
        <w:ind w:right="108"/>
      </w:pPr>
      <w:r w:rsidRPr="004349CF">
        <w:rPr>
          <w:rStyle w:val="FootnoteReference"/>
          <w:rFonts w:asciiTheme="majorBidi" w:hAnsiTheme="majorBidi"/>
          <w:sz w:val="16"/>
          <w:szCs w:val="16"/>
        </w:rPr>
        <w:footnoteRef/>
      </w:r>
      <w:r w:rsidRPr="004349CF">
        <w:rPr>
          <w:rFonts w:asciiTheme="majorBidi" w:hAnsiTheme="majorBidi" w:cs="Times New Roman"/>
          <w:sz w:val="16"/>
          <w:szCs w:val="16"/>
        </w:rPr>
        <w:t xml:space="preserve"> Other non-linear estimators include a Gamma pseudo-maximum-likelihood (GPML), a Non-Linear Least Squares (NLS) estimator and a Feasible Generalized Least Squares (FGLS). See </w:t>
      </w:r>
      <w:r w:rsidRPr="004349CF">
        <w:rPr>
          <w:rFonts w:asciiTheme="majorBidi" w:hAnsiTheme="majorBidi" w:cs="Times New Roman"/>
          <w:sz w:val="16"/>
          <w:szCs w:val="16"/>
        </w:rPr>
        <w:fldChar w:fldCharType="begin" w:fldLock="1"/>
      </w:r>
      <w:r>
        <w:rPr>
          <w:rFonts w:asciiTheme="majorBidi" w:hAnsiTheme="majorBidi" w:cs="Times New Roman"/>
          <w:sz w:val="16"/>
          <w:szCs w:val="16"/>
        </w:rPr>
        <w:instrText xml:space="preserve">ADDIN CSL_CITATION {"citationItems":[{"id":"ITEM-1","itemData":{"ISSN":"0377-7332","author":[{"dropping-particle":"","family":"Gómez-Herrera","given":"Estrella","non-dropping-particle":"","parse-names":false,"suffix":""}],"container-title":"Empirical Economics","id":"ITEM-1","issue":"3","issued":{"date-parts":[["2013"]]},"page":"1087-1111","publisher":"Springer","title":"Comparing alternative methods to estimate gravity models of bilateral trade","type":"article-journal","volume":"44"},"uris":["http://www.mendeley.com/documents/?uuid=f6777929-0389-4839-8e30-67f777722f2d"]},{"id":"ITEM-2","itemData":{"abstract":"This paper evaluates the performance of alternative estimation methods for gravity models with heteroskedasticity and zero trade values. Both problematic issues, recently addressed by Santos Silva and Tenreyro in an influential paper, are re-examined here. We use Monte Carlo simulations to compare the Pseudo Poisson Maximum Likelihood (PPML) estimator recommended by Santos Silva and Tenreyro, a Gamma pseudo-maximum-likelihood (GPML), a Non-Linear Least Squares (NLS) estimator and a Feasible Generalized Least Squares (FGLS) estimator with more traditional techniques. Additionally, estimates of the gravity equation are obtained for three different data sets with the abovementioned methods. The results of the simulation study indicate that, although the PPML estimator is less affected by heteroskedasticity than others are, its performance is similar, in terms of bias and standard errors, to the FGLS estimator performance, in particular for small samples. GPML presents however the lowest bias and standard errors in the simulations without zero values. The results of the empirical estimations, using three different samples containing real data, indicate that the choice of estimator has to be made for each specific dataset. There is not a general </w:instrText>
      </w:r>
      <w:r>
        <w:rPr>
          <w:rFonts w:ascii="Times New Roman" w:hAnsi="Times New Roman" w:cs="Times New Roman"/>
          <w:sz w:val="16"/>
          <w:szCs w:val="16"/>
        </w:rPr>
        <w:instrText>“</w:instrText>
      </w:r>
      <w:r>
        <w:rPr>
          <w:rFonts w:asciiTheme="majorBidi" w:hAnsiTheme="majorBidi" w:cs="Times New Roman"/>
          <w:sz w:val="16"/>
          <w:szCs w:val="16"/>
        </w:rPr>
        <w:instrText xml:space="preserve"> \" best</w:instrText>
      </w:r>
      <w:r>
        <w:rPr>
          <w:rFonts w:ascii="Times New Roman" w:hAnsi="Times New Roman" w:cs="Times New Roman"/>
          <w:sz w:val="16"/>
          <w:szCs w:val="16"/>
        </w:rPr>
        <w:instrText>”</w:instrText>
      </w:r>
      <w:r>
        <w:rPr>
          <w:rFonts w:asciiTheme="majorBidi" w:hAnsiTheme="majorBidi" w:cs="Times New Roman"/>
          <w:sz w:val="16"/>
          <w:szCs w:val="16"/>
        </w:rPr>
        <w:instrText xml:space="preserve"> \" estimator and it is highly recommended to follow a model selection approach using a number of tests to select the more appropriate estimator for any application.","author":[{"dropping-particle":"","family":"Martínez-Zarzoso","given":"Inmaculada","non-dropping-particle":"","parse-names":false,"suffix":""}],"container-title":"Applied Economics","id":"ITEM-2","issue":"3","issued":{"date-parts":[["2013"]]},"page":"311-327","title":"The Log of Gravity Revisited","type":"article-journal","volume":"45"},"uris":["http://www.mendeley.com/documents/?uuid=47da558c-54a5-4577-af88-3265c8d42329"]}],"mendeley":{"formattedCitation":"(Gómez-Herrera, 2013; Martínez-Zarzoso, 2013)","plainTextFormattedCitation":"(Gómez-Herrera, 2013; Martínez-Zarzoso, 2013)","previouslyFormattedCitation":"(Gómez-Herrera, 2013; Martínez-Zarzoso, 2013)"},"properties":{"noteIndex":0},"schema":"https://github.com/citation-style-language/schema/raw/master/csl-citation.json"}</w:instrText>
      </w:r>
      <w:r w:rsidRPr="004349CF">
        <w:rPr>
          <w:rFonts w:asciiTheme="majorBidi" w:hAnsiTheme="majorBidi" w:cs="Times New Roman"/>
          <w:sz w:val="16"/>
          <w:szCs w:val="16"/>
        </w:rPr>
        <w:fldChar w:fldCharType="separate"/>
      </w:r>
      <w:r w:rsidRPr="004349CF">
        <w:rPr>
          <w:rFonts w:asciiTheme="majorBidi" w:hAnsiTheme="majorBidi" w:cs="Times New Roman"/>
          <w:noProof/>
          <w:sz w:val="16"/>
          <w:szCs w:val="16"/>
        </w:rPr>
        <w:t>(Gómez-Herrera, 2013; Martínez-Zarzoso, 2013)</w:t>
      </w:r>
      <w:r w:rsidRPr="004349CF">
        <w:rPr>
          <w:rFonts w:asciiTheme="majorBidi" w:hAnsiTheme="majorBidi" w:cs="Times New Roman"/>
          <w:sz w:val="16"/>
          <w:szCs w:val="16"/>
        </w:rPr>
        <w:fldChar w:fldCharType="end"/>
      </w:r>
    </w:p>
  </w:footnote>
  <w:footnote w:id="12">
    <w:p w:rsidR="009B786B" w:rsidRDefault="009B786B" w:rsidP="00B33B41">
      <w:pPr>
        <w:pStyle w:val="FootnoteText"/>
      </w:pPr>
      <w:r w:rsidRPr="004349CF">
        <w:rPr>
          <w:rStyle w:val="FootnoteReference"/>
          <w:rFonts w:asciiTheme="majorBidi" w:hAnsiTheme="majorBidi"/>
          <w:sz w:val="16"/>
          <w:szCs w:val="16"/>
        </w:rPr>
        <w:footnoteRef/>
      </w:r>
      <w:r w:rsidRPr="004349CF">
        <w:rPr>
          <w:rFonts w:asciiTheme="majorBidi" w:hAnsiTheme="majorBidi" w:cs="Times New Roman"/>
          <w:sz w:val="12"/>
          <w:szCs w:val="12"/>
        </w:rPr>
        <w:t xml:space="preserve"> </w:t>
      </w:r>
      <w:r w:rsidRPr="004349CF">
        <w:rPr>
          <w:rFonts w:asciiTheme="majorBidi" w:hAnsiTheme="majorBidi" w:cs="Times New Roman"/>
          <w:sz w:val="16"/>
          <w:szCs w:val="16"/>
        </w:rPr>
        <w:t>(http://databank.worldbank.org/data/reports.aspx)</w:t>
      </w:r>
    </w:p>
  </w:footnote>
  <w:footnote w:id="13">
    <w:p w:rsidR="009B786B" w:rsidRDefault="009B786B" w:rsidP="00B33B41">
      <w:pPr>
        <w:pStyle w:val="FootnoteText"/>
      </w:pPr>
      <w:r w:rsidRPr="004349CF">
        <w:rPr>
          <w:rStyle w:val="FootnoteReference"/>
          <w:rFonts w:asciiTheme="majorBidi" w:hAnsiTheme="majorBidi"/>
          <w:sz w:val="16"/>
          <w:szCs w:val="16"/>
        </w:rPr>
        <w:footnoteRef/>
      </w:r>
      <w:r w:rsidRPr="004349CF">
        <w:rPr>
          <w:rFonts w:asciiTheme="majorBidi" w:hAnsiTheme="majorBidi" w:cs="Times New Roman"/>
          <w:sz w:val="16"/>
          <w:szCs w:val="16"/>
        </w:rPr>
        <w:t xml:space="preserve"> (</w:t>
      </w:r>
      <w:hyperlink r:id="rId4" w:history="1">
        <w:r w:rsidRPr="004349CF">
          <w:rPr>
            <w:rFonts w:asciiTheme="majorBidi" w:hAnsiTheme="majorBidi" w:cs="Times New Roman"/>
            <w:sz w:val="16"/>
            <w:szCs w:val="16"/>
          </w:rPr>
          <w:t>http://www.trademap.org</w:t>
        </w:r>
      </w:hyperlink>
      <w:r w:rsidRPr="004349CF">
        <w:rPr>
          <w:rFonts w:asciiTheme="majorBidi" w:hAnsiTheme="majorBidi" w:cs="Times New Roman"/>
          <w:sz w:val="16"/>
          <w:szCs w:val="16"/>
        </w:rPr>
        <w:t>)</w:t>
      </w:r>
    </w:p>
  </w:footnote>
  <w:footnote w:id="14">
    <w:p w:rsidR="009B786B" w:rsidRPr="004349CF" w:rsidRDefault="009B786B" w:rsidP="00B33B41">
      <w:pPr>
        <w:pStyle w:val="FootnoteText"/>
        <w:rPr>
          <w:rFonts w:asciiTheme="majorBidi" w:hAnsiTheme="majorBidi" w:cs="Times New Roman"/>
          <w:sz w:val="16"/>
          <w:szCs w:val="16"/>
        </w:rPr>
      </w:pPr>
      <w:r w:rsidRPr="004349CF">
        <w:rPr>
          <w:rStyle w:val="FootnoteReference"/>
          <w:rFonts w:asciiTheme="majorBidi" w:hAnsiTheme="majorBidi"/>
          <w:sz w:val="16"/>
          <w:szCs w:val="16"/>
        </w:rPr>
        <w:footnoteRef/>
      </w:r>
      <w:r w:rsidRPr="004349CF">
        <w:rPr>
          <w:rFonts w:asciiTheme="majorBidi" w:hAnsiTheme="majorBidi" w:cs="Times New Roman"/>
          <w:sz w:val="16"/>
          <w:szCs w:val="16"/>
        </w:rPr>
        <w:t xml:space="preserve"> The Harmonized System (HS) is an international nomenclature for the classification of internationally traded   </w:t>
      </w:r>
    </w:p>
    <w:p w:rsidR="009B786B" w:rsidRDefault="009B786B" w:rsidP="00B33B41">
      <w:pPr>
        <w:pStyle w:val="FootnoteText"/>
      </w:pPr>
      <w:r w:rsidRPr="004349CF">
        <w:rPr>
          <w:rFonts w:asciiTheme="majorBidi" w:hAnsiTheme="majorBidi" w:cs="Times New Roman"/>
          <w:sz w:val="16"/>
          <w:szCs w:val="16"/>
        </w:rPr>
        <w:t xml:space="preserve">   goods. It allows countries to classify traded goods on a common basis</w:t>
      </w:r>
    </w:p>
  </w:footnote>
  <w:footnote w:id="15">
    <w:p w:rsidR="009B786B" w:rsidRDefault="009B786B" w:rsidP="00B33B41">
      <w:pPr>
        <w:pStyle w:val="FootnoteText"/>
      </w:pPr>
      <w:r w:rsidRPr="002A2D98">
        <w:rPr>
          <w:rStyle w:val="FootnoteReference"/>
          <w:rFonts w:cs="Arial"/>
        </w:rPr>
        <w:footnoteRef/>
      </w:r>
      <w:r w:rsidRPr="00796188">
        <w:rPr>
          <w:rFonts w:asciiTheme="majorBidi" w:hAnsiTheme="majorBidi" w:cs="Times New Roman"/>
        </w:rPr>
        <w:t xml:space="preserve"> (</w:t>
      </w:r>
      <w:hyperlink r:id="rId5" w:history="1">
        <w:r w:rsidRPr="00796188">
          <w:rPr>
            <w:rStyle w:val="Hyperlink"/>
            <w:rFonts w:asciiTheme="majorBidi" w:hAnsiTheme="majorBidi" w:cs="Arial"/>
          </w:rPr>
          <w:t>http://www.cepii.fr/anglaisgraph/bdd/distances.htm</w:t>
        </w:r>
      </w:hyperlink>
      <w:r w:rsidRPr="00796188">
        <w:rPr>
          <w:rFonts w:asciiTheme="majorBidi" w:hAnsiTheme="majorBidi" w:cs="Times New Roman"/>
        </w:rPr>
        <w:t>).</w:t>
      </w:r>
    </w:p>
  </w:footnote>
  <w:footnote w:id="16">
    <w:p w:rsidR="009B786B" w:rsidRDefault="009B786B" w:rsidP="00B33B41">
      <w:pPr>
        <w:pStyle w:val="FootnoteText"/>
      </w:pPr>
      <w:r w:rsidRPr="002A2D98">
        <w:rPr>
          <w:rStyle w:val="FootnoteReference"/>
          <w:rFonts w:cs="Arial"/>
        </w:rPr>
        <w:footnoteRef/>
      </w:r>
      <w:r>
        <w:t xml:space="preserve"> </w:t>
      </w:r>
      <w:r w:rsidRPr="00796188">
        <w:rPr>
          <w:rStyle w:val="Hyperlink"/>
          <w:rFonts w:asciiTheme="majorBidi" w:hAnsiTheme="majorBidi" w:cs="Arial"/>
        </w:rPr>
        <w:t>(</w:t>
      </w:r>
      <w:hyperlink r:id="rId6" w:history="1">
        <w:r w:rsidRPr="00796188">
          <w:rPr>
            <w:rStyle w:val="Hyperlink"/>
            <w:rFonts w:asciiTheme="majorBidi" w:hAnsiTheme="majorBidi" w:cs="Arial"/>
          </w:rPr>
          <w:t>http://rtais.wto.org</w:t>
        </w:r>
      </w:hyperlink>
      <w:r w:rsidRPr="00796188">
        <w:rPr>
          <w:rStyle w:val="Hyperlink"/>
          <w:rFonts w:asciiTheme="majorBidi" w:hAnsiTheme="majorBidi" w:cs="Arial"/>
        </w:rPr>
        <w:t>)</w:t>
      </w:r>
    </w:p>
  </w:footnote>
  <w:footnote w:id="17">
    <w:p w:rsidR="009B786B" w:rsidRDefault="009B786B" w:rsidP="00B33B41">
      <w:pPr>
        <w:pStyle w:val="FootnoteText"/>
      </w:pPr>
      <w:r w:rsidRPr="002A2D98">
        <w:rPr>
          <w:rStyle w:val="FootnoteReference"/>
          <w:rFonts w:cs="Arial"/>
        </w:rPr>
        <w:footnoteRef/>
      </w:r>
      <w:r>
        <w:t xml:space="preserve"> </w:t>
      </w:r>
      <w:r w:rsidRPr="0061167E">
        <w:rPr>
          <w:rFonts w:asciiTheme="majorBidi" w:hAnsiTheme="majorBidi" w:cs="Times New Roman"/>
          <w:sz w:val="16"/>
          <w:szCs w:val="16"/>
        </w:rPr>
        <w:t xml:space="preserve">Results of contingency being negative under panel data using fixed effect was also obtained by </w:t>
      </w:r>
      <w:r w:rsidRPr="0061167E">
        <w:rPr>
          <w:rFonts w:asciiTheme="majorBidi" w:hAnsiTheme="majorBidi" w:cs="Times New Roman"/>
          <w:sz w:val="16"/>
          <w:szCs w:val="16"/>
        </w:rPr>
        <w:fldChar w:fldCharType="begin" w:fldLock="1"/>
      </w:r>
      <w:r w:rsidRPr="0061167E">
        <w:rPr>
          <w:rFonts w:asciiTheme="majorBidi" w:hAnsiTheme="majorBidi" w:cs="Times New Roman"/>
          <w:sz w:val="16"/>
          <w:szCs w:val="16"/>
        </w:rPr>
        <w:instrText>ADDIN CSL_CITATION {"citationItems":[{"id":"ITEM-1","itemData":{"author":[{"dropping-particle":"","family":"Gómez","given":"E","non-dropping-particle":"","parse-names":false,"suffix":""},{"dropping-particle":"","family":"Milgram","given":"J","non-dropping-particle":"","parse-names":false,"suffix":""}],"id":"ITEM-1","issued":{"date-parts":[["2010"]]},"publisher":"mimeo","title":"Are estimation techniques neutral to estimate gravity equations? An application to the impact of EMU on third countries’ exports","type":"report"},"uris":["http://www.mendeley.com/documents/?uuid=5ae4de3b-d020-44e6-b91a-d63252f6c0ee"]}],"mendeley":{"formattedCitation":"(Gómez &amp; Milgram, 2010)","manualFormatting":"Gómez &amp; Milgram (2010)","plainTextFormattedCitation":"(Gómez &amp; Milgram, 2010)","previouslyFormattedCitation":"(Gómez &amp; Milgram, 2010)"},"properties":{"noteIndex":0},"schema":"https://github.com/citation-style-language/schema/raw/master/csl-citation.json"}</w:instrText>
      </w:r>
      <w:r w:rsidRPr="0061167E">
        <w:rPr>
          <w:rFonts w:asciiTheme="majorBidi" w:hAnsiTheme="majorBidi" w:cs="Times New Roman"/>
          <w:sz w:val="16"/>
          <w:szCs w:val="16"/>
        </w:rPr>
        <w:fldChar w:fldCharType="separate"/>
      </w:r>
      <w:r w:rsidRPr="0061167E">
        <w:rPr>
          <w:rFonts w:asciiTheme="majorBidi" w:hAnsiTheme="majorBidi" w:cs="Times New Roman"/>
          <w:noProof/>
          <w:sz w:val="16"/>
          <w:szCs w:val="16"/>
        </w:rPr>
        <w:t>Gómez &amp; Milgram (2010)</w:t>
      </w:r>
      <w:r w:rsidRPr="0061167E">
        <w:rPr>
          <w:rFonts w:asciiTheme="majorBidi" w:hAnsiTheme="majorBidi" w:cs="Times New Roman"/>
          <w:sz w:val="16"/>
          <w:szCs w:val="16"/>
        </w:rPr>
        <w:fldChar w:fldCharType="end"/>
      </w:r>
      <w:r w:rsidRPr="0061167E">
        <w:rPr>
          <w:rFonts w:asciiTheme="majorBidi" w:hAnsiTheme="majorBidi" w:cs="Times New Roman"/>
          <w:sz w:val="16"/>
          <w:szCs w:val="16"/>
        </w:rPr>
        <w:t>.</w:t>
      </w:r>
    </w:p>
  </w:footnote>
  <w:footnote w:id="18">
    <w:p w:rsidR="009B786B" w:rsidRDefault="009B786B" w:rsidP="00B33B41">
      <w:pPr>
        <w:pStyle w:val="FootnoteText"/>
      </w:pPr>
      <w:r w:rsidRPr="002A2D98">
        <w:rPr>
          <w:rStyle w:val="FootnoteReference"/>
          <w:rFonts w:cs="Arial"/>
        </w:rPr>
        <w:footnoteRef/>
      </w:r>
      <w:r>
        <w:t xml:space="preserve">  </w:t>
      </w:r>
      <w:r w:rsidRPr="00DE3272">
        <w:rPr>
          <w:rFonts w:asciiTheme="majorBidi" w:hAnsiTheme="majorBidi" w:cs="Times New Roman"/>
          <w:sz w:val="16"/>
          <w:szCs w:val="16"/>
        </w:rPr>
        <w:t>Calculation was done using</w:t>
      </w:r>
      <w:r w:rsidRPr="00DE3272">
        <w:rPr>
          <w:sz w:val="16"/>
          <w:szCs w:val="16"/>
        </w:rPr>
        <w:t xml:space="preserve"> </w:t>
      </w:r>
      <w:r w:rsidRPr="00A35B0E">
        <w:rPr>
          <w:rFonts w:ascii="Times New Roman" w:hAnsi="Times New Roman" w:cs="Times New Roman"/>
          <w:bCs/>
          <w:sz w:val="18"/>
          <w:szCs w:val="18"/>
        </w:rPr>
        <w:t>[e</w:t>
      </w:r>
      <w:r w:rsidRPr="00A35B0E">
        <w:rPr>
          <w:rFonts w:ascii="Times New Roman" w:hAnsi="Times New Roman" w:cs="Times New Roman"/>
          <w:bCs/>
          <w:sz w:val="18"/>
          <w:szCs w:val="18"/>
          <w:vertAlign w:val="superscript"/>
        </w:rPr>
        <w:t xml:space="preserve">β RTA / (-TE) </w:t>
      </w:r>
      <w:r w:rsidRPr="00A35B0E">
        <w:rPr>
          <w:rFonts w:ascii="Times New Roman" w:hAnsi="Times New Roman" w:cs="Times New Roman"/>
          <w:bCs/>
          <w:sz w:val="18"/>
          <w:szCs w:val="18"/>
        </w:rPr>
        <w:t xml:space="preserve">−1] ×100.  </w:t>
      </w:r>
      <w:r w:rsidRPr="00DE3272">
        <w:rPr>
          <w:rFonts w:asciiTheme="majorBidi" w:hAnsiTheme="majorBidi" w:cs="Times New Roman"/>
          <w:sz w:val="16"/>
          <w:szCs w:val="16"/>
        </w:rPr>
        <w:t xml:space="preserve">Read </w:t>
      </w:r>
      <w:r w:rsidRPr="00DE3272">
        <w:rPr>
          <w:rFonts w:asciiTheme="majorBidi" w:hAnsiTheme="majorBidi" w:cs="Times New Roman"/>
          <w:sz w:val="16"/>
          <w:szCs w:val="16"/>
        </w:rPr>
        <w:fldChar w:fldCharType="begin" w:fldLock="1"/>
      </w:r>
      <w:r>
        <w:rPr>
          <w:rFonts w:asciiTheme="majorBidi" w:hAnsiTheme="majorBidi" w:cs="Times New Roman"/>
          <w:sz w:val="16"/>
          <w:szCs w:val="16"/>
        </w:rPr>
        <w:instrText>ADDIN CSL_CITATION {"citationItems":[{"id":"ITEM-1","itemData":{"ISBN":"9287043671","author":[{"dropping-particle":"V","family":"Yotov","given":"Yoto","non-dropping-particle":"","parse-names":false,"suffix":""},{"dropping-particle":"","family":"Piermartini","given":"Roberta","non-dropping-particle":"","parse-names":false,"suffix":""},{"dropping-particle":"","family":"Monteiro","given":"José-Antonio","non-dropping-particle":"","parse-names":false,"suffix":""},{"dropping-particle":"","family":"Larch","given":"Mario","non-dropping-particle":"","parse-names":false,"suffix":""}],"id":"ITEM-1","issued":{"date-parts":[["2016"]]},"publisher":"World Trade Organization","title":"An advanced guide to trade policy analysis: The structural gravity model","type":"book"},"uris":["http://www.mendeley.com/documents/?uuid=f043c798-1e8e-4edc-a1d7-1525a6573508"]}],"mendeley":{"formattedCitation":"(Yotov et al., 2016)","manualFormatting":"more in Yotov et al. (2016)","plainTextFormattedCitation":"(Yotov et al., 2016)","previouslyFormattedCitation":"(Yotov et al., 2016)"},"properties":{"noteIndex":0},"schema":"https://github.com/citation-style-language/schema/raw/master/csl-citation.json"}</w:instrText>
      </w:r>
      <w:r w:rsidRPr="00DE3272">
        <w:rPr>
          <w:rFonts w:asciiTheme="majorBidi" w:hAnsiTheme="majorBidi" w:cs="Times New Roman"/>
          <w:sz w:val="16"/>
          <w:szCs w:val="16"/>
        </w:rPr>
        <w:fldChar w:fldCharType="separate"/>
      </w:r>
      <w:r w:rsidRPr="00DE3272">
        <w:rPr>
          <w:rFonts w:asciiTheme="majorBidi" w:hAnsiTheme="majorBidi" w:cs="Times New Roman"/>
          <w:noProof/>
          <w:sz w:val="16"/>
          <w:szCs w:val="16"/>
        </w:rPr>
        <w:t>more in Yotov et al. (2016)</w:t>
      </w:r>
      <w:r w:rsidRPr="00DE3272">
        <w:rPr>
          <w:rFonts w:asciiTheme="majorBidi" w:hAnsiTheme="majorBidi" w:cs="Times New Roman"/>
          <w:sz w:val="16"/>
          <w:szCs w:val="16"/>
        </w:rPr>
        <w:fldChar w:fldCharType="end"/>
      </w:r>
      <w:r w:rsidRPr="00DE3272">
        <w:rPr>
          <w:rFonts w:asciiTheme="majorBidi" w:hAnsiTheme="majorBidi" w:cs="Times New Roman"/>
          <w:sz w:val="16"/>
          <w:szCs w:val="16"/>
        </w:rPr>
        <w:t xml:space="preserve"> page 30 and </w:t>
      </w:r>
      <w:r w:rsidRPr="00DE3272">
        <w:rPr>
          <w:rFonts w:asciiTheme="majorBidi" w:hAnsiTheme="majorBidi" w:cs="Times New Roman"/>
          <w:sz w:val="16"/>
          <w:szCs w:val="16"/>
        </w:rPr>
        <w:fldChar w:fldCharType="begin" w:fldLock="1"/>
      </w:r>
      <w:r>
        <w:rPr>
          <w:rFonts w:asciiTheme="majorBidi" w:hAnsiTheme="majorBidi" w:cs="Times New Roman"/>
          <w:sz w:val="16"/>
          <w:szCs w:val="16"/>
        </w:rPr>
        <w:instrText>ADDIN CSL_CITATION {"citationItems":[{"id":"ITEM-1","itemData":{"ISSN":"1468-0327","author":[{"dropping-particle":"","family":"Felbermayr","given":"Gabriel","non-dropping-particle":"","parse-names":false,"suffix":""},{"dropping-particle":"","family":"Heid","given":"Benedikt","non-dropping-particle":"","parse-names":false,"suffix":""},{"dropping-particle":"","family":"Larch","given":"Mario","non-dropping-particle":"","parse-names":false,"suffix":""},{"dropping-particle":"","family":"Yalcin","given":"Erdal","non-dropping-particle":"","parse-names":false,"suffix":""}],"container-title":"Economic Policy","id":"ITEM-1","issue":"83","issued":{"date-parts":[["2015"]]},"page":"491-537","publisher":"Oxford University Press","title":"Macroeconomic potentials of transatlantic free trade: A high resolution perspective for Europe and the world","type":"article-journal","volume":"30"},"uris":["http://www.mendeley.com/documents/?uuid=6dd7f117-685a-442d-bfa0-f0b260dae824"]}],"mendeley":{"formattedCitation":"(Felbermayr et al., 2015)","manualFormatting":"Felbermayr et al.( 2015)","plainTextFormattedCitation":"(Felbermayr et al., 2015)","previouslyFormattedCitation":"(Felbermayr et al., 2015)"},"properties":{"noteIndex":0},"schema":"https://github.com/citation-style-language/schema/raw/master/csl-citation.json"}</w:instrText>
      </w:r>
      <w:r w:rsidRPr="00DE3272">
        <w:rPr>
          <w:rFonts w:asciiTheme="majorBidi" w:hAnsiTheme="majorBidi" w:cs="Times New Roman"/>
          <w:sz w:val="16"/>
          <w:szCs w:val="16"/>
        </w:rPr>
        <w:fldChar w:fldCharType="separate"/>
      </w:r>
      <w:r w:rsidRPr="00DE3272">
        <w:rPr>
          <w:rFonts w:asciiTheme="majorBidi" w:hAnsiTheme="majorBidi" w:cs="Times New Roman"/>
          <w:noProof/>
          <w:sz w:val="16"/>
          <w:szCs w:val="16"/>
        </w:rPr>
        <w:t>Felbermayr et al.( 2015)</w:t>
      </w:r>
      <w:r w:rsidRPr="00DE3272">
        <w:rPr>
          <w:rFonts w:asciiTheme="majorBidi" w:hAnsiTheme="majorBidi" w:cs="Times New Roman"/>
          <w:sz w:val="16"/>
          <w:szCs w:val="16"/>
        </w:rPr>
        <w:fldChar w:fldCharType="end"/>
      </w:r>
      <w:r w:rsidRPr="00DE3272">
        <w:rPr>
          <w:rFonts w:asciiTheme="majorBidi" w:hAnsiTheme="majorBidi" w:cs="Times New Roman"/>
          <w:sz w:val="16"/>
          <w:szCs w:val="16"/>
        </w:rPr>
        <w:t xml:space="preserve"> page 1-10.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382E"/>
    <w:multiLevelType w:val="multilevel"/>
    <w:tmpl w:val="01021B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CF416B5"/>
    <w:multiLevelType w:val="hybridMultilevel"/>
    <w:tmpl w:val="F1026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C4039B"/>
    <w:multiLevelType w:val="hybridMultilevel"/>
    <w:tmpl w:val="0C2A2B0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1D865F18"/>
    <w:multiLevelType w:val="hybridMultilevel"/>
    <w:tmpl w:val="F1026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D2687"/>
    <w:multiLevelType w:val="multilevel"/>
    <w:tmpl w:val="71681E96"/>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160129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B964BC7"/>
    <w:multiLevelType w:val="multilevel"/>
    <w:tmpl w:val="01021BA0"/>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D485E2D"/>
    <w:multiLevelType w:val="multilevel"/>
    <w:tmpl w:val="9F60B720"/>
    <w:lvl w:ilvl="0">
      <w:start w:val="1"/>
      <w:numFmt w:val="decimal"/>
      <w:lvlText w:val="%1."/>
      <w:lvlJc w:val="left"/>
      <w:pPr>
        <w:ind w:left="360" w:hanging="360"/>
      </w:pPr>
      <w:rPr>
        <w:rFonts w:cs="Times New Roman"/>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720" w:hanging="720"/>
      </w:pPr>
      <w:rPr>
        <w:rFonts w:cs="Times New Roman" w:hint="default"/>
        <w:color w:val="000000" w:themeColor="text1"/>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8">
    <w:nsid w:val="32AE05B4"/>
    <w:multiLevelType w:val="hybridMultilevel"/>
    <w:tmpl w:val="E028F1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B16BF1"/>
    <w:multiLevelType w:val="hybridMultilevel"/>
    <w:tmpl w:val="497EE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15548C"/>
    <w:multiLevelType w:val="multilevel"/>
    <w:tmpl w:val="22FC9B0C"/>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3E8A6B06"/>
    <w:multiLevelType w:val="multilevel"/>
    <w:tmpl w:val="F0987694"/>
    <w:lvl w:ilvl="0">
      <w:start w:val="4"/>
      <w:numFmt w:val="decimal"/>
      <w:lvlText w:val="%1"/>
      <w:lvlJc w:val="left"/>
      <w:pPr>
        <w:ind w:left="480" w:hanging="480"/>
      </w:pPr>
      <w:rPr>
        <w:rFonts w:cs="Times New Roman" w:hint="default"/>
        <w:color w:val="243F60" w:themeColor="accent1" w:themeShade="7F"/>
        <w:sz w:val="24"/>
      </w:rPr>
    </w:lvl>
    <w:lvl w:ilvl="1">
      <w:start w:val="2"/>
      <w:numFmt w:val="decimal"/>
      <w:lvlText w:val="%1.%2"/>
      <w:lvlJc w:val="left"/>
      <w:pPr>
        <w:ind w:left="480" w:hanging="480"/>
      </w:pPr>
      <w:rPr>
        <w:rFonts w:cs="Times New Roman" w:hint="default"/>
        <w:color w:val="243F60" w:themeColor="accent1" w:themeShade="7F"/>
        <w:sz w:val="24"/>
      </w:rPr>
    </w:lvl>
    <w:lvl w:ilvl="2">
      <w:start w:val="1"/>
      <w:numFmt w:val="decimal"/>
      <w:lvlText w:val="%1.%2.%3"/>
      <w:lvlJc w:val="left"/>
      <w:pPr>
        <w:ind w:left="720" w:hanging="720"/>
      </w:pPr>
      <w:rPr>
        <w:rFonts w:cs="Times New Roman" w:hint="default"/>
        <w:color w:val="243F60" w:themeColor="accent1" w:themeShade="7F"/>
        <w:sz w:val="24"/>
      </w:rPr>
    </w:lvl>
    <w:lvl w:ilvl="3">
      <w:start w:val="1"/>
      <w:numFmt w:val="decimal"/>
      <w:lvlText w:val="%1.%2.%3.%4"/>
      <w:lvlJc w:val="left"/>
      <w:pPr>
        <w:ind w:left="720" w:hanging="720"/>
      </w:pPr>
      <w:rPr>
        <w:rFonts w:cs="Times New Roman" w:hint="default"/>
        <w:color w:val="243F60" w:themeColor="accent1" w:themeShade="7F"/>
        <w:sz w:val="24"/>
      </w:rPr>
    </w:lvl>
    <w:lvl w:ilvl="4">
      <w:start w:val="1"/>
      <w:numFmt w:val="decimal"/>
      <w:lvlText w:val="%1.%2.%3.%4.%5"/>
      <w:lvlJc w:val="left"/>
      <w:pPr>
        <w:ind w:left="1080" w:hanging="1080"/>
      </w:pPr>
      <w:rPr>
        <w:rFonts w:cs="Times New Roman" w:hint="default"/>
        <w:color w:val="243F60" w:themeColor="accent1" w:themeShade="7F"/>
        <w:sz w:val="24"/>
      </w:rPr>
    </w:lvl>
    <w:lvl w:ilvl="5">
      <w:start w:val="1"/>
      <w:numFmt w:val="decimal"/>
      <w:lvlText w:val="%1.%2.%3.%4.%5.%6"/>
      <w:lvlJc w:val="left"/>
      <w:pPr>
        <w:ind w:left="1440" w:hanging="1440"/>
      </w:pPr>
      <w:rPr>
        <w:rFonts w:cs="Times New Roman" w:hint="default"/>
        <w:color w:val="243F60" w:themeColor="accent1" w:themeShade="7F"/>
        <w:sz w:val="24"/>
      </w:rPr>
    </w:lvl>
    <w:lvl w:ilvl="6">
      <w:start w:val="1"/>
      <w:numFmt w:val="decimal"/>
      <w:lvlText w:val="%1.%2.%3.%4.%5.%6.%7"/>
      <w:lvlJc w:val="left"/>
      <w:pPr>
        <w:ind w:left="1440" w:hanging="1440"/>
      </w:pPr>
      <w:rPr>
        <w:rFonts w:cs="Times New Roman" w:hint="default"/>
        <w:color w:val="243F60" w:themeColor="accent1" w:themeShade="7F"/>
        <w:sz w:val="24"/>
      </w:rPr>
    </w:lvl>
    <w:lvl w:ilvl="7">
      <w:start w:val="1"/>
      <w:numFmt w:val="decimal"/>
      <w:lvlText w:val="%1.%2.%3.%4.%5.%6.%7.%8"/>
      <w:lvlJc w:val="left"/>
      <w:pPr>
        <w:ind w:left="1800" w:hanging="1800"/>
      </w:pPr>
      <w:rPr>
        <w:rFonts w:cs="Times New Roman" w:hint="default"/>
        <w:color w:val="243F60" w:themeColor="accent1" w:themeShade="7F"/>
        <w:sz w:val="24"/>
      </w:rPr>
    </w:lvl>
    <w:lvl w:ilvl="8">
      <w:start w:val="1"/>
      <w:numFmt w:val="decimal"/>
      <w:lvlText w:val="%1.%2.%3.%4.%5.%6.%7.%8.%9"/>
      <w:lvlJc w:val="left"/>
      <w:pPr>
        <w:ind w:left="1800" w:hanging="1800"/>
      </w:pPr>
      <w:rPr>
        <w:rFonts w:cs="Times New Roman" w:hint="default"/>
        <w:color w:val="243F60" w:themeColor="accent1" w:themeShade="7F"/>
        <w:sz w:val="24"/>
      </w:rPr>
    </w:lvl>
  </w:abstractNum>
  <w:abstractNum w:abstractNumId="12">
    <w:nsid w:val="44C331FA"/>
    <w:multiLevelType w:val="multilevel"/>
    <w:tmpl w:val="04D48376"/>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489C57E1"/>
    <w:multiLevelType w:val="hybridMultilevel"/>
    <w:tmpl w:val="C9D8F96E"/>
    <w:lvl w:ilvl="0" w:tplc="8E56EA30">
      <w:start w:val="1"/>
      <w:numFmt w:val="upperLetter"/>
      <w:lvlText w:val="%1."/>
      <w:lvlJc w:val="left"/>
      <w:pPr>
        <w:ind w:left="720" w:hanging="360"/>
      </w:pPr>
      <w:rPr>
        <w:rFonts w:hint="default"/>
        <w:color w:val="1F497D"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9F151F"/>
    <w:multiLevelType w:val="multilevel"/>
    <w:tmpl w:val="01021BA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55CB23C7"/>
    <w:multiLevelType w:val="multilevel"/>
    <w:tmpl w:val="7242B58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62C5795A"/>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688803FE"/>
    <w:multiLevelType w:val="hybridMultilevel"/>
    <w:tmpl w:val="A8148A3C"/>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F663FD7"/>
    <w:multiLevelType w:val="hybridMultilevel"/>
    <w:tmpl w:val="EB907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6C2A55"/>
    <w:multiLevelType w:val="multilevel"/>
    <w:tmpl w:val="BB44D3B0"/>
    <w:lvl w:ilvl="0">
      <w:start w:val="4"/>
      <w:numFmt w:val="decimal"/>
      <w:lvlText w:val="%1"/>
      <w:lvlJc w:val="left"/>
      <w:pPr>
        <w:ind w:left="480" w:hanging="480"/>
      </w:pPr>
      <w:rPr>
        <w:rFonts w:cs="Times New Roman" w:hint="default"/>
        <w:color w:val="243F60" w:themeColor="accent1" w:themeShade="7F"/>
        <w:sz w:val="24"/>
      </w:rPr>
    </w:lvl>
    <w:lvl w:ilvl="1">
      <w:start w:val="1"/>
      <w:numFmt w:val="decimal"/>
      <w:lvlText w:val="%1.%2"/>
      <w:lvlJc w:val="left"/>
      <w:pPr>
        <w:ind w:left="750" w:hanging="480"/>
      </w:pPr>
      <w:rPr>
        <w:rFonts w:cs="Times New Roman" w:hint="default"/>
        <w:color w:val="000000" w:themeColor="text1"/>
        <w:sz w:val="24"/>
      </w:rPr>
    </w:lvl>
    <w:lvl w:ilvl="2">
      <w:start w:val="2"/>
      <w:numFmt w:val="decimal"/>
      <w:lvlText w:val="%1.%2.%3"/>
      <w:lvlJc w:val="left"/>
      <w:pPr>
        <w:ind w:left="720" w:hanging="720"/>
      </w:pPr>
      <w:rPr>
        <w:rFonts w:cs="Times New Roman" w:hint="default"/>
        <w:color w:val="243F60" w:themeColor="accent1" w:themeShade="7F"/>
        <w:sz w:val="24"/>
      </w:rPr>
    </w:lvl>
    <w:lvl w:ilvl="3">
      <w:start w:val="1"/>
      <w:numFmt w:val="decimal"/>
      <w:lvlText w:val="%1.%2.%3.%4"/>
      <w:lvlJc w:val="left"/>
      <w:pPr>
        <w:ind w:left="720" w:hanging="720"/>
      </w:pPr>
      <w:rPr>
        <w:rFonts w:cs="Times New Roman" w:hint="default"/>
        <w:color w:val="243F60" w:themeColor="accent1" w:themeShade="7F"/>
        <w:sz w:val="24"/>
      </w:rPr>
    </w:lvl>
    <w:lvl w:ilvl="4">
      <w:start w:val="1"/>
      <w:numFmt w:val="decimal"/>
      <w:lvlText w:val="%1.%2.%3.%4.%5"/>
      <w:lvlJc w:val="left"/>
      <w:pPr>
        <w:ind w:left="1080" w:hanging="1080"/>
      </w:pPr>
      <w:rPr>
        <w:rFonts w:cs="Times New Roman" w:hint="default"/>
        <w:color w:val="243F60" w:themeColor="accent1" w:themeShade="7F"/>
        <w:sz w:val="24"/>
      </w:rPr>
    </w:lvl>
    <w:lvl w:ilvl="5">
      <w:start w:val="1"/>
      <w:numFmt w:val="decimal"/>
      <w:lvlText w:val="%1.%2.%3.%4.%5.%6"/>
      <w:lvlJc w:val="left"/>
      <w:pPr>
        <w:ind w:left="1440" w:hanging="1440"/>
      </w:pPr>
      <w:rPr>
        <w:rFonts w:cs="Times New Roman" w:hint="default"/>
        <w:color w:val="243F60" w:themeColor="accent1" w:themeShade="7F"/>
        <w:sz w:val="24"/>
      </w:rPr>
    </w:lvl>
    <w:lvl w:ilvl="6">
      <w:start w:val="1"/>
      <w:numFmt w:val="decimal"/>
      <w:lvlText w:val="%1.%2.%3.%4.%5.%6.%7"/>
      <w:lvlJc w:val="left"/>
      <w:pPr>
        <w:ind w:left="1440" w:hanging="1440"/>
      </w:pPr>
      <w:rPr>
        <w:rFonts w:cs="Times New Roman" w:hint="default"/>
        <w:color w:val="243F60" w:themeColor="accent1" w:themeShade="7F"/>
        <w:sz w:val="24"/>
      </w:rPr>
    </w:lvl>
    <w:lvl w:ilvl="7">
      <w:start w:val="1"/>
      <w:numFmt w:val="decimal"/>
      <w:lvlText w:val="%1.%2.%3.%4.%5.%6.%7.%8"/>
      <w:lvlJc w:val="left"/>
      <w:pPr>
        <w:ind w:left="1800" w:hanging="1800"/>
      </w:pPr>
      <w:rPr>
        <w:rFonts w:cs="Times New Roman" w:hint="default"/>
        <w:color w:val="243F60" w:themeColor="accent1" w:themeShade="7F"/>
        <w:sz w:val="24"/>
      </w:rPr>
    </w:lvl>
    <w:lvl w:ilvl="8">
      <w:start w:val="1"/>
      <w:numFmt w:val="decimal"/>
      <w:lvlText w:val="%1.%2.%3.%4.%5.%6.%7.%8.%9"/>
      <w:lvlJc w:val="left"/>
      <w:pPr>
        <w:ind w:left="1800" w:hanging="1800"/>
      </w:pPr>
      <w:rPr>
        <w:rFonts w:cs="Times New Roman" w:hint="default"/>
        <w:color w:val="243F60" w:themeColor="accent1" w:themeShade="7F"/>
        <w:sz w:val="24"/>
      </w:rPr>
    </w:lvl>
  </w:abstractNum>
  <w:num w:numId="1">
    <w:abstractNumId w:val="5"/>
  </w:num>
  <w:num w:numId="2">
    <w:abstractNumId w:val="0"/>
  </w:num>
  <w:num w:numId="3">
    <w:abstractNumId w:val="19"/>
  </w:num>
  <w:num w:numId="4">
    <w:abstractNumId w:val="7"/>
  </w:num>
  <w:num w:numId="5">
    <w:abstractNumId w:val="17"/>
  </w:num>
  <w:num w:numId="6">
    <w:abstractNumId w:val="10"/>
  </w:num>
  <w:num w:numId="7">
    <w:abstractNumId w:val="16"/>
  </w:num>
  <w:num w:numId="8">
    <w:abstractNumId w:val="14"/>
  </w:num>
  <w:num w:numId="9">
    <w:abstractNumId w:val="6"/>
  </w:num>
  <w:num w:numId="10">
    <w:abstractNumId w:val="15"/>
  </w:num>
  <w:num w:numId="11">
    <w:abstractNumId w:val="11"/>
  </w:num>
  <w:num w:numId="12">
    <w:abstractNumId w:val="2"/>
  </w:num>
  <w:num w:numId="13">
    <w:abstractNumId w:val="12"/>
  </w:num>
  <w:num w:numId="14">
    <w:abstractNumId w:val="4"/>
  </w:num>
  <w:num w:numId="15">
    <w:abstractNumId w:val="3"/>
  </w:num>
  <w:num w:numId="16">
    <w:abstractNumId w:val="18"/>
  </w:num>
  <w:num w:numId="17">
    <w:abstractNumId w:val="8"/>
  </w:num>
  <w:num w:numId="18">
    <w:abstractNumId w:val="13"/>
  </w:num>
  <w:num w:numId="19">
    <w:abstractNumId w:val="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5C7"/>
    <w:rsid w:val="00003A02"/>
    <w:rsid w:val="000211E1"/>
    <w:rsid w:val="0003330C"/>
    <w:rsid w:val="00034198"/>
    <w:rsid w:val="000406D0"/>
    <w:rsid w:val="00043B2A"/>
    <w:rsid w:val="000623AB"/>
    <w:rsid w:val="00073162"/>
    <w:rsid w:val="00077D42"/>
    <w:rsid w:val="00084B84"/>
    <w:rsid w:val="00094918"/>
    <w:rsid w:val="000A0FBA"/>
    <w:rsid w:val="000C7B2B"/>
    <w:rsid w:val="00102043"/>
    <w:rsid w:val="001059D0"/>
    <w:rsid w:val="00121EC9"/>
    <w:rsid w:val="00124CED"/>
    <w:rsid w:val="00155526"/>
    <w:rsid w:val="001649B1"/>
    <w:rsid w:val="00175C9D"/>
    <w:rsid w:val="00182E08"/>
    <w:rsid w:val="00185920"/>
    <w:rsid w:val="00192D86"/>
    <w:rsid w:val="002216F7"/>
    <w:rsid w:val="00247FAC"/>
    <w:rsid w:val="00260F0E"/>
    <w:rsid w:val="0026104D"/>
    <w:rsid w:val="002615C7"/>
    <w:rsid w:val="00283D74"/>
    <w:rsid w:val="002949EA"/>
    <w:rsid w:val="002C2F85"/>
    <w:rsid w:val="002C36C9"/>
    <w:rsid w:val="00300BBE"/>
    <w:rsid w:val="003146EF"/>
    <w:rsid w:val="0033739A"/>
    <w:rsid w:val="00350948"/>
    <w:rsid w:val="00351C3F"/>
    <w:rsid w:val="00360323"/>
    <w:rsid w:val="00375555"/>
    <w:rsid w:val="003755A6"/>
    <w:rsid w:val="0038602B"/>
    <w:rsid w:val="0038663F"/>
    <w:rsid w:val="0039146F"/>
    <w:rsid w:val="003A4DEF"/>
    <w:rsid w:val="003D409E"/>
    <w:rsid w:val="003E3D98"/>
    <w:rsid w:val="00411A2B"/>
    <w:rsid w:val="00411FE6"/>
    <w:rsid w:val="00424AB2"/>
    <w:rsid w:val="00433FDE"/>
    <w:rsid w:val="00435E28"/>
    <w:rsid w:val="00442C19"/>
    <w:rsid w:val="00462CE6"/>
    <w:rsid w:val="00464C36"/>
    <w:rsid w:val="00472A93"/>
    <w:rsid w:val="004750B3"/>
    <w:rsid w:val="00485412"/>
    <w:rsid w:val="00491DA6"/>
    <w:rsid w:val="00492850"/>
    <w:rsid w:val="00497AA8"/>
    <w:rsid w:val="004A579B"/>
    <w:rsid w:val="004B006B"/>
    <w:rsid w:val="004B08BE"/>
    <w:rsid w:val="004B1126"/>
    <w:rsid w:val="004C15FF"/>
    <w:rsid w:val="004C3684"/>
    <w:rsid w:val="004C3F8F"/>
    <w:rsid w:val="004D13C6"/>
    <w:rsid w:val="004D198D"/>
    <w:rsid w:val="004D753D"/>
    <w:rsid w:val="004F6B98"/>
    <w:rsid w:val="004F7D4B"/>
    <w:rsid w:val="005010DC"/>
    <w:rsid w:val="005077C0"/>
    <w:rsid w:val="00520BB3"/>
    <w:rsid w:val="005323E8"/>
    <w:rsid w:val="0053681D"/>
    <w:rsid w:val="0053746F"/>
    <w:rsid w:val="005452AE"/>
    <w:rsid w:val="005638B3"/>
    <w:rsid w:val="00574119"/>
    <w:rsid w:val="005976D1"/>
    <w:rsid w:val="005A570C"/>
    <w:rsid w:val="005A6165"/>
    <w:rsid w:val="005C14EC"/>
    <w:rsid w:val="005D727C"/>
    <w:rsid w:val="005E5128"/>
    <w:rsid w:val="005E7D68"/>
    <w:rsid w:val="006112EA"/>
    <w:rsid w:val="0061167E"/>
    <w:rsid w:val="00614129"/>
    <w:rsid w:val="00630441"/>
    <w:rsid w:val="00652636"/>
    <w:rsid w:val="00661C8B"/>
    <w:rsid w:val="00662C45"/>
    <w:rsid w:val="00664C43"/>
    <w:rsid w:val="00682DF8"/>
    <w:rsid w:val="006B1411"/>
    <w:rsid w:val="006C26EB"/>
    <w:rsid w:val="006D3AF6"/>
    <w:rsid w:val="007012B5"/>
    <w:rsid w:val="007048FF"/>
    <w:rsid w:val="0074013D"/>
    <w:rsid w:val="007432D0"/>
    <w:rsid w:val="00745409"/>
    <w:rsid w:val="00747233"/>
    <w:rsid w:val="00752D19"/>
    <w:rsid w:val="00760BCF"/>
    <w:rsid w:val="00764BB3"/>
    <w:rsid w:val="0077383E"/>
    <w:rsid w:val="00791712"/>
    <w:rsid w:val="007B5576"/>
    <w:rsid w:val="007C09CE"/>
    <w:rsid w:val="007C11AD"/>
    <w:rsid w:val="007D7CDF"/>
    <w:rsid w:val="007E6DD3"/>
    <w:rsid w:val="00816C9D"/>
    <w:rsid w:val="00820562"/>
    <w:rsid w:val="00825D96"/>
    <w:rsid w:val="00834398"/>
    <w:rsid w:val="00843058"/>
    <w:rsid w:val="008631FE"/>
    <w:rsid w:val="00897900"/>
    <w:rsid w:val="008A24A2"/>
    <w:rsid w:val="008A5425"/>
    <w:rsid w:val="008B7119"/>
    <w:rsid w:val="008C37DD"/>
    <w:rsid w:val="008D5181"/>
    <w:rsid w:val="008E0BEF"/>
    <w:rsid w:val="008E2E2B"/>
    <w:rsid w:val="008E328B"/>
    <w:rsid w:val="008E5DF3"/>
    <w:rsid w:val="008E73C2"/>
    <w:rsid w:val="008E7A3B"/>
    <w:rsid w:val="008F6247"/>
    <w:rsid w:val="009015FF"/>
    <w:rsid w:val="0090781F"/>
    <w:rsid w:val="009446BE"/>
    <w:rsid w:val="00947869"/>
    <w:rsid w:val="00962613"/>
    <w:rsid w:val="0096429A"/>
    <w:rsid w:val="0097787E"/>
    <w:rsid w:val="00985FFC"/>
    <w:rsid w:val="009938A7"/>
    <w:rsid w:val="00997C1A"/>
    <w:rsid w:val="009A4388"/>
    <w:rsid w:val="009B786B"/>
    <w:rsid w:val="009F0AAD"/>
    <w:rsid w:val="00A01B33"/>
    <w:rsid w:val="00A0621F"/>
    <w:rsid w:val="00A134F2"/>
    <w:rsid w:val="00A21F04"/>
    <w:rsid w:val="00A342BF"/>
    <w:rsid w:val="00A40875"/>
    <w:rsid w:val="00A4498E"/>
    <w:rsid w:val="00A72B67"/>
    <w:rsid w:val="00A74FCD"/>
    <w:rsid w:val="00A90946"/>
    <w:rsid w:val="00AA4425"/>
    <w:rsid w:val="00AB0AFC"/>
    <w:rsid w:val="00AB50E8"/>
    <w:rsid w:val="00AB7C89"/>
    <w:rsid w:val="00AE5B3D"/>
    <w:rsid w:val="00AF4F2D"/>
    <w:rsid w:val="00B23932"/>
    <w:rsid w:val="00B2417A"/>
    <w:rsid w:val="00B2497C"/>
    <w:rsid w:val="00B33B41"/>
    <w:rsid w:val="00B558F3"/>
    <w:rsid w:val="00BA5A1D"/>
    <w:rsid w:val="00BC2932"/>
    <w:rsid w:val="00BC4AA0"/>
    <w:rsid w:val="00BC5347"/>
    <w:rsid w:val="00BC698D"/>
    <w:rsid w:val="00BD0E04"/>
    <w:rsid w:val="00BD1033"/>
    <w:rsid w:val="00BD17E5"/>
    <w:rsid w:val="00BF1ADA"/>
    <w:rsid w:val="00BF39CB"/>
    <w:rsid w:val="00BF6D2B"/>
    <w:rsid w:val="00C031D7"/>
    <w:rsid w:val="00C07E0C"/>
    <w:rsid w:val="00C22743"/>
    <w:rsid w:val="00C30C9E"/>
    <w:rsid w:val="00C5534E"/>
    <w:rsid w:val="00C63D82"/>
    <w:rsid w:val="00C86B18"/>
    <w:rsid w:val="00C87560"/>
    <w:rsid w:val="00CB2F9D"/>
    <w:rsid w:val="00CB31DF"/>
    <w:rsid w:val="00CC149B"/>
    <w:rsid w:val="00D077A3"/>
    <w:rsid w:val="00D1297F"/>
    <w:rsid w:val="00D23978"/>
    <w:rsid w:val="00D3472C"/>
    <w:rsid w:val="00D41A14"/>
    <w:rsid w:val="00D465ED"/>
    <w:rsid w:val="00D51060"/>
    <w:rsid w:val="00D5627D"/>
    <w:rsid w:val="00D66E3D"/>
    <w:rsid w:val="00D73671"/>
    <w:rsid w:val="00D73B72"/>
    <w:rsid w:val="00D8057B"/>
    <w:rsid w:val="00D8125C"/>
    <w:rsid w:val="00D92A7F"/>
    <w:rsid w:val="00DA34A4"/>
    <w:rsid w:val="00DA39AE"/>
    <w:rsid w:val="00DC35C1"/>
    <w:rsid w:val="00DC390A"/>
    <w:rsid w:val="00DC715E"/>
    <w:rsid w:val="00DD32A8"/>
    <w:rsid w:val="00DD52B9"/>
    <w:rsid w:val="00DD52C1"/>
    <w:rsid w:val="00DD590E"/>
    <w:rsid w:val="00DD7533"/>
    <w:rsid w:val="00DE5F2F"/>
    <w:rsid w:val="00DF4FD7"/>
    <w:rsid w:val="00E0759B"/>
    <w:rsid w:val="00E1385F"/>
    <w:rsid w:val="00E158BC"/>
    <w:rsid w:val="00E22D65"/>
    <w:rsid w:val="00E36948"/>
    <w:rsid w:val="00E51ED1"/>
    <w:rsid w:val="00E627EF"/>
    <w:rsid w:val="00E77AA1"/>
    <w:rsid w:val="00E83405"/>
    <w:rsid w:val="00EB283C"/>
    <w:rsid w:val="00EB316E"/>
    <w:rsid w:val="00EB40B7"/>
    <w:rsid w:val="00EC7379"/>
    <w:rsid w:val="00ED36B0"/>
    <w:rsid w:val="00ED373D"/>
    <w:rsid w:val="00ED463C"/>
    <w:rsid w:val="00EE09AA"/>
    <w:rsid w:val="00EE4776"/>
    <w:rsid w:val="00EE7C70"/>
    <w:rsid w:val="00EF7A72"/>
    <w:rsid w:val="00F02A24"/>
    <w:rsid w:val="00F13FE7"/>
    <w:rsid w:val="00F23427"/>
    <w:rsid w:val="00F3760C"/>
    <w:rsid w:val="00F45B09"/>
    <w:rsid w:val="00F52AC9"/>
    <w:rsid w:val="00F56CEF"/>
    <w:rsid w:val="00F713A4"/>
    <w:rsid w:val="00F74817"/>
    <w:rsid w:val="00FB1442"/>
    <w:rsid w:val="00FC6395"/>
    <w:rsid w:val="00FE3916"/>
    <w:rsid w:val="00FE59F8"/>
    <w:rsid w:val="00FF04A0"/>
    <w:rsid w:val="00FF11BB"/>
    <w:rsid w:val="00FF13FE"/>
    <w:rsid w:val="00FF67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BD1033"/>
    <w:pPr>
      <w:keepNext/>
      <w:keepLines/>
      <w:spacing w:before="240" w:after="0"/>
      <w:outlineLvl w:val="0"/>
    </w:pPr>
    <w:rPr>
      <w:rFonts w:asciiTheme="majorHAnsi" w:eastAsiaTheme="majorEastAsia" w:hAnsiTheme="majorHAnsi" w:cstheme="majorBidi"/>
      <w:noProof w:val="0"/>
      <w:color w:val="365F91" w:themeColor="accent1" w:themeShade="BF"/>
      <w:sz w:val="32"/>
      <w:szCs w:val="32"/>
    </w:rPr>
  </w:style>
  <w:style w:type="paragraph" w:styleId="Heading2">
    <w:name w:val="heading 2"/>
    <w:basedOn w:val="Normal"/>
    <w:next w:val="Normal"/>
    <w:link w:val="Heading2Char"/>
    <w:uiPriority w:val="9"/>
    <w:unhideWhenUsed/>
    <w:qFormat/>
    <w:rsid w:val="00BD1033"/>
    <w:pPr>
      <w:keepNext/>
      <w:keepLines/>
      <w:spacing w:before="40" w:after="0"/>
      <w:outlineLvl w:val="1"/>
    </w:pPr>
    <w:rPr>
      <w:rFonts w:asciiTheme="majorHAnsi" w:eastAsiaTheme="majorEastAsia" w:hAnsiTheme="majorHAnsi" w:cstheme="majorBidi"/>
      <w:noProof w:val="0"/>
      <w:color w:val="365F91" w:themeColor="accent1" w:themeShade="BF"/>
      <w:sz w:val="26"/>
      <w:szCs w:val="26"/>
    </w:rPr>
  </w:style>
  <w:style w:type="paragraph" w:styleId="Heading3">
    <w:name w:val="heading 3"/>
    <w:basedOn w:val="Normal"/>
    <w:next w:val="Normal"/>
    <w:link w:val="Heading3Char"/>
    <w:uiPriority w:val="9"/>
    <w:unhideWhenUsed/>
    <w:qFormat/>
    <w:rsid w:val="0038602B"/>
    <w:pPr>
      <w:keepNext/>
      <w:keepLines/>
      <w:spacing w:before="40" w:after="0"/>
      <w:outlineLvl w:val="2"/>
    </w:pPr>
    <w:rPr>
      <w:rFonts w:asciiTheme="majorHAnsi" w:eastAsiaTheme="majorEastAsia" w:hAnsiTheme="majorHAnsi" w:cs="Times New Roman"/>
      <w:noProof w:val="0"/>
      <w:color w:val="243F60" w:themeColor="accent1" w:themeShade="7F"/>
      <w:sz w:val="24"/>
      <w:szCs w:val="24"/>
    </w:rPr>
  </w:style>
  <w:style w:type="paragraph" w:styleId="Heading4">
    <w:name w:val="heading 4"/>
    <w:basedOn w:val="Normal"/>
    <w:next w:val="Normal"/>
    <w:link w:val="Heading4Char"/>
    <w:uiPriority w:val="9"/>
    <w:unhideWhenUsed/>
    <w:qFormat/>
    <w:rsid w:val="0038602B"/>
    <w:pPr>
      <w:keepNext/>
      <w:keepLines/>
      <w:spacing w:before="40" w:after="0"/>
      <w:outlineLvl w:val="3"/>
    </w:pPr>
    <w:rPr>
      <w:rFonts w:asciiTheme="majorHAnsi" w:eastAsiaTheme="majorEastAsia" w:hAnsiTheme="majorHAnsi" w:cs="Times New Roman"/>
      <w:i/>
      <w:iCs/>
      <w:noProof w:val="0"/>
      <w:color w:val="365F91" w:themeColor="accent1" w:themeShade="BF"/>
    </w:rPr>
  </w:style>
  <w:style w:type="paragraph" w:styleId="Heading5">
    <w:name w:val="heading 5"/>
    <w:basedOn w:val="Normal"/>
    <w:next w:val="Normal"/>
    <w:link w:val="Heading5Char"/>
    <w:uiPriority w:val="9"/>
    <w:unhideWhenUsed/>
    <w:qFormat/>
    <w:rsid w:val="00B33B41"/>
    <w:pPr>
      <w:keepNext/>
      <w:keepLines/>
      <w:spacing w:before="40" w:after="0"/>
      <w:outlineLvl w:val="4"/>
    </w:pPr>
    <w:rPr>
      <w:rFonts w:asciiTheme="majorHAnsi" w:eastAsiaTheme="majorEastAsia" w:hAnsiTheme="majorHAnsi" w:cs="Times New Roman"/>
      <w:noProof w:val="0"/>
      <w:color w:val="365F91" w:themeColor="accent1" w:themeShade="BF"/>
    </w:rPr>
  </w:style>
  <w:style w:type="paragraph" w:styleId="Heading6">
    <w:name w:val="heading 6"/>
    <w:basedOn w:val="Normal"/>
    <w:next w:val="Normal"/>
    <w:link w:val="Heading6Char"/>
    <w:uiPriority w:val="9"/>
    <w:semiHidden/>
    <w:unhideWhenUsed/>
    <w:qFormat/>
    <w:rsid w:val="00B33B41"/>
    <w:pPr>
      <w:keepNext/>
      <w:keepLines/>
      <w:spacing w:before="40" w:after="0"/>
      <w:outlineLvl w:val="5"/>
    </w:pPr>
    <w:rPr>
      <w:rFonts w:asciiTheme="majorHAnsi" w:eastAsiaTheme="majorEastAsia" w:hAnsiTheme="majorHAnsi" w:cs="Times New Roman"/>
      <w:noProof w:val="0"/>
      <w:color w:val="243F60" w:themeColor="accent1" w:themeShade="7F"/>
    </w:rPr>
  </w:style>
  <w:style w:type="paragraph" w:styleId="Heading7">
    <w:name w:val="heading 7"/>
    <w:basedOn w:val="Normal"/>
    <w:next w:val="Normal"/>
    <w:link w:val="Heading7Char"/>
    <w:uiPriority w:val="9"/>
    <w:semiHidden/>
    <w:unhideWhenUsed/>
    <w:qFormat/>
    <w:rsid w:val="00B33B41"/>
    <w:pPr>
      <w:keepNext/>
      <w:keepLines/>
      <w:spacing w:before="40" w:after="0"/>
      <w:outlineLvl w:val="6"/>
    </w:pPr>
    <w:rPr>
      <w:rFonts w:asciiTheme="majorHAnsi" w:eastAsiaTheme="majorEastAsia" w:hAnsiTheme="majorHAnsi" w:cs="Times New Roman"/>
      <w:i/>
      <w:iCs/>
      <w:noProof w:val="0"/>
      <w:color w:val="243F60" w:themeColor="accent1" w:themeShade="7F"/>
    </w:rPr>
  </w:style>
  <w:style w:type="paragraph" w:styleId="Heading8">
    <w:name w:val="heading 8"/>
    <w:basedOn w:val="Normal"/>
    <w:next w:val="Normal"/>
    <w:link w:val="Heading8Char"/>
    <w:uiPriority w:val="9"/>
    <w:semiHidden/>
    <w:unhideWhenUsed/>
    <w:qFormat/>
    <w:rsid w:val="00B33B41"/>
    <w:pPr>
      <w:keepNext/>
      <w:keepLines/>
      <w:spacing w:before="40" w:after="0"/>
      <w:outlineLvl w:val="7"/>
    </w:pPr>
    <w:rPr>
      <w:rFonts w:asciiTheme="majorHAnsi" w:eastAsiaTheme="majorEastAsia" w:hAnsiTheme="majorHAnsi" w:cs="Times New Roman"/>
      <w:noProof w:val="0"/>
      <w:color w:val="272727" w:themeColor="text1" w:themeTint="D8"/>
      <w:sz w:val="21"/>
      <w:szCs w:val="21"/>
    </w:rPr>
  </w:style>
  <w:style w:type="paragraph" w:styleId="Heading9">
    <w:name w:val="heading 9"/>
    <w:basedOn w:val="Normal"/>
    <w:next w:val="Normal"/>
    <w:link w:val="Heading9Char"/>
    <w:uiPriority w:val="9"/>
    <w:semiHidden/>
    <w:unhideWhenUsed/>
    <w:qFormat/>
    <w:rsid w:val="00B33B41"/>
    <w:pPr>
      <w:keepNext/>
      <w:keepLines/>
      <w:spacing w:before="40" w:after="0"/>
      <w:outlineLvl w:val="8"/>
    </w:pPr>
    <w:rPr>
      <w:rFonts w:asciiTheme="majorHAnsi" w:eastAsiaTheme="majorEastAsia" w:hAnsiTheme="majorHAnsi" w:cs="Times New Roman"/>
      <w:i/>
      <w:iCs/>
      <w:noProof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3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55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5A6"/>
    <w:rPr>
      <w:rFonts w:ascii="Tahoma" w:hAnsi="Tahoma" w:cs="Tahoma"/>
      <w:noProof/>
      <w:sz w:val="16"/>
      <w:szCs w:val="16"/>
    </w:rPr>
  </w:style>
  <w:style w:type="character" w:customStyle="1" w:styleId="Heading1Char">
    <w:name w:val="Heading 1 Char"/>
    <w:basedOn w:val="DefaultParagraphFont"/>
    <w:link w:val="Heading1"/>
    <w:uiPriority w:val="9"/>
    <w:rsid w:val="00BD10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1033"/>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unhideWhenUsed/>
    <w:rsid w:val="00BD1033"/>
    <w:pPr>
      <w:spacing w:after="0" w:line="240" w:lineRule="auto"/>
    </w:pPr>
    <w:rPr>
      <w:noProof w:val="0"/>
      <w:sz w:val="20"/>
      <w:szCs w:val="20"/>
    </w:rPr>
  </w:style>
  <w:style w:type="character" w:customStyle="1" w:styleId="FootnoteTextChar">
    <w:name w:val="Footnote Text Char"/>
    <w:basedOn w:val="DefaultParagraphFont"/>
    <w:link w:val="FootnoteText"/>
    <w:uiPriority w:val="99"/>
    <w:rsid w:val="00BD1033"/>
    <w:rPr>
      <w:sz w:val="20"/>
      <w:szCs w:val="20"/>
    </w:rPr>
  </w:style>
  <w:style w:type="character" w:styleId="FootnoteReference">
    <w:name w:val="footnote reference"/>
    <w:basedOn w:val="DefaultParagraphFont"/>
    <w:uiPriority w:val="99"/>
    <w:semiHidden/>
    <w:unhideWhenUsed/>
    <w:rsid w:val="00BD1033"/>
    <w:rPr>
      <w:vertAlign w:val="superscript"/>
    </w:rPr>
  </w:style>
  <w:style w:type="character" w:styleId="Hyperlink">
    <w:name w:val="Hyperlink"/>
    <w:basedOn w:val="DefaultParagraphFont"/>
    <w:uiPriority w:val="99"/>
    <w:unhideWhenUsed/>
    <w:rsid w:val="00003A02"/>
    <w:rPr>
      <w:color w:val="0000FF" w:themeColor="hyperlink"/>
      <w:u w:val="single"/>
    </w:rPr>
  </w:style>
  <w:style w:type="character" w:customStyle="1" w:styleId="Heading3Char">
    <w:name w:val="Heading 3 Char"/>
    <w:basedOn w:val="DefaultParagraphFont"/>
    <w:link w:val="Heading3"/>
    <w:uiPriority w:val="9"/>
    <w:rsid w:val="0038602B"/>
    <w:rPr>
      <w:rFonts w:asciiTheme="majorHAnsi" w:eastAsiaTheme="majorEastAsia" w:hAnsiTheme="majorHAnsi" w:cs="Times New Roman"/>
      <w:color w:val="243F60" w:themeColor="accent1" w:themeShade="7F"/>
      <w:sz w:val="24"/>
      <w:szCs w:val="24"/>
    </w:rPr>
  </w:style>
  <w:style w:type="paragraph" w:styleId="Caption">
    <w:name w:val="caption"/>
    <w:basedOn w:val="Normal"/>
    <w:next w:val="Normal"/>
    <w:uiPriority w:val="35"/>
    <w:unhideWhenUsed/>
    <w:qFormat/>
    <w:rsid w:val="0038602B"/>
    <w:pPr>
      <w:spacing w:line="240" w:lineRule="auto"/>
    </w:pPr>
    <w:rPr>
      <w:rFonts w:eastAsia="Times New Roman" w:cs="Arial"/>
      <w:i/>
      <w:iCs/>
      <w:noProof w:val="0"/>
      <w:color w:val="1F497D" w:themeColor="text2"/>
      <w:sz w:val="18"/>
      <w:szCs w:val="18"/>
    </w:rPr>
  </w:style>
  <w:style w:type="character" w:customStyle="1" w:styleId="Heading4Char">
    <w:name w:val="Heading 4 Char"/>
    <w:basedOn w:val="DefaultParagraphFont"/>
    <w:link w:val="Heading4"/>
    <w:uiPriority w:val="9"/>
    <w:rsid w:val="0038602B"/>
    <w:rPr>
      <w:rFonts w:asciiTheme="majorHAnsi" w:eastAsiaTheme="majorEastAsia" w:hAnsiTheme="majorHAnsi" w:cs="Times New Roman"/>
      <w:i/>
      <w:iCs/>
      <w:color w:val="365F91" w:themeColor="accent1" w:themeShade="BF"/>
    </w:rPr>
  </w:style>
  <w:style w:type="character" w:customStyle="1" w:styleId="Heading5Char">
    <w:name w:val="Heading 5 Char"/>
    <w:basedOn w:val="DefaultParagraphFont"/>
    <w:link w:val="Heading5"/>
    <w:uiPriority w:val="9"/>
    <w:rsid w:val="00B33B41"/>
    <w:rPr>
      <w:rFonts w:asciiTheme="majorHAnsi" w:eastAsiaTheme="majorEastAsia" w:hAnsiTheme="majorHAnsi" w:cs="Times New Roman"/>
      <w:color w:val="365F91" w:themeColor="accent1" w:themeShade="BF"/>
    </w:rPr>
  </w:style>
  <w:style w:type="character" w:customStyle="1" w:styleId="Heading6Char">
    <w:name w:val="Heading 6 Char"/>
    <w:basedOn w:val="DefaultParagraphFont"/>
    <w:link w:val="Heading6"/>
    <w:uiPriority w:val="9"/>
    <w:semiHidden/>
    <w:rsid w:val="00B33B41"/>
    <w:rPr>
      <w:rFonts w:asciiTheme="majorHAnsi" w:eastAsiaTheme="majorEastAsia" w:hAnsiTheme="majorHAnsi" w:cs="Times New Roman"/>
      <w:color w:val="243F60" w:themeColor="accent1" w:themeShade="7F"/>
    </w:rPr>
  </w:style>
  <w:style w:type="character" w:customStyle="1" w:styleId="Heading7Char">
    <w:name w:val="Heading 7 Char"/>
    <w:basedOn w:val="DefaultParagraphFont"/>
    <w:link w:val="Heading7"/>
    <w:uiPriority w:val="9"/>
    <w:semiHidden/>
    <w:rsid w:val="00B33B41"/>
    <w:rPr>
      <w:rFonts w:asciiTheme="majorHAnsi" w:eastAsiaTheme="majorEastAsia" w:hAnsiTheme="majorHAnsi" w:cs="Times New Roman"/>
      <w:i/>
      <w:iCs/>
      <w:color w:val="243F60" w:themeColor="accent1" w:themeShade="7F"/>
    </w:rPr>
  </w:style>
  <w:style w:type="character" w:customStyle="1" w:styleId="Heading8Char">
    <w:name w:val="Heading 8 Char"/>
    <w:basedOn w:val="DefaultParagraphFont"/>
    <w:link w:val="Heading8"/>
    <w:uiPriority w:val="9"/>
    <w:semiHidden/>
    <w:rsid w:val="00B33B41"/>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B33B41"/>
    <w:rPr>
      <w:rFonts w:asciiTheme="majorHAnsi" w:eastAsiaTheme="majorEastAsia" w:hAnsiTheme="majorHAnsi" w:cs="Times New Roman"/>
      <w:i/>
      <w:iCs/>
      <w:color w:val="272727" w:themeColor="text1" w:themeTint="D8"/>
      <w:sz w:val="21"/>
      <w:szCs w:val="21"/>
    </w:rPr>
  </w:style>
  <w:style w:type="paragraph" w:styleId="ListParagraph">
    <w:name w:val="List Paragraph"/>
    <w:basedOn w:val="Normal"/>
    <w:uiPriority w:val="34"/>
    <w:qFormat/>
    <w:rsid w:val="00B33B41"/>
    <w:pPr>
      <w:ind w:left="720"/>
      <w:contextualSpacing/>
    </w:pPr>
    <w:rPr>
      <w:rFonts w:eastAsia="Times New Roman" w:cs="Arial"/>
      <w:noProof w:val="0"/>
      <w:lang w:val="es-ES"/>
    </w:rPr>
  </w:style>
  <w:style w:type="paragraph" w:styleId="IntenseQuote">
    <w:name w:val="Intense Quote"/>
    <w:basedOn w:val="Normal"/>
    <w:next w:val="Normal"/>
    <w:link w:val="IntenseQuoteChar"/>
    <w:uiPriority w:val="30"/>
    <w:qFormat/>
    <w:rsid w:val="00B33B41"/>
    <w:pPr>
      <w:pBdr>
        <w:top w:val="single" w:sz="4" w:space="10" w:color="000000" w:themeColor="text1"/>
        <w:bottom w:val="single" w:sz="4" w:space="10" w:color="000000" w:themeColor="text1"/>
      </w:pBdr>
      <w:spacing w:before="360" w:after="360"/>
      <w:ind w:left="864" w:right="864"/>
      <w:jc w:val="center"/>
    </w:pPr>
    <w:rPr>
      <w:rFonts w:eastAsia="Times New Roman" w:cs="Arial"/>
      <w:i/>
      <w:iCs/>
      <w:noProof w:val="0"/>
      <w:color w:val="000000" w:themeColor="text1"/>
    </w:rPr>
  </w:style>
  <w:style w:type="character" w:customStyle="1" w:styleId="IntenseQuoteChar">
    <w:name w:val="Intense Quote Char"/>
    <w:basedOn w:val="DefaultParagraphFont"/>
    <w:link w:val="IntenseQuote"/>
    <w:uiPriority w:val="30"/>
    <w:rsid w:val="00B33B41"/>
    <w:rPr>
      <w:rFonts w:eastAsia="Times New Roman" w:cs="Arial"/>
      <w:i/>
      <w:iCs/>
      <w:color w:val="000000" w:themeColor="text1"/>
    </w:rPr>
  </w:style>
  <w:style w:type="character" w:customStyle="1" w:styleId="text">
    <w:name w:val="text"/>
    <w:rsid w:val="00B33B41"/>
    <w:rPr>
      <w:rFonts w:ascii="Cambria Math" w:hAnsi="Cambria Math"/>
      <w:i/>
    </w:rPr>
  </w:style>
  <w:style w:type="character" w:customStyle="1" w:styleId="ref-lnk">
    <w:name w:val="ref-lnk"/>
    <w:basedOn w:val="DefaultParagraphFont"/>
    <w:rsid w:val="00B33B41"/>
    <w:rPr>
      <w:rFonts w:cs="Times New Roman"/>
    </w:rPr>
  </w:style>
  <w:style w:type="character" w:customStyle="1" w:styleId="ref-overlay">
    <w:name w:val="ref-overlay"/>
    <w:basedOn w:val="DefaultParagraphFont"/>
    <w:rsid w:val="00B33B41"/>
    <w:rPr>
      <w:rFonts w:cs="Times New Roman"/>
    </w:rPr>
  </w:style>
  <w:style w:type="character" w:customStyle="1" w:styleId="hlfld-contribauthor">
    <w:name w:val="hlfld-contribauthor"/>
    <w:basedOn w:val="DefaultParagraphFont"/>
    <w:rsid w:val="00B33B41"/>
    <w:rPr>
      <w:rFonts w:cs="Times New Roman"/>
    </w:rPr>
  </w:style>
  <w:style w:type="character" w:customStyle="1" w:styleId="nlmgiven-names">
    <w:name w:val="nlm_given-names"/>
    <w:basedOn w:val="DefaultParagraphFont"/>
    <w:rsid w:val="00B33B41"/>
    <w:rPr>
      <w:rFonts w:cs="Times New Roman"/>
    </w:rPr>
  </w:style>
  <w:style w:type="character" w:customStyle="1" w:styleId="nlmyear">
    <w:name w:val="nlm_year"/>
    <w:basedOn w:val="DefaultParagraphFont"/>
    <w:rsid w:val="00B33B41"/>
    <w:rPr>
      <w:rFonts w:cs="Times New Roman"/>
    </w:rPr>
  </w:style>
  <w:style w:type="character" w:customStyle="1" w:styleId="nlmpublisher-loc">
    <w:name w:val="nlm_publisher-loc"/>
    <w:basedOn w:val="DefaultParagraphFont"/>
    <w:rsid w:val="00B33B41"/>
    <w:rPr>
      <w:rFonts w:cs="Times New Roman"/>
    </w:rPr>
  </w:style>
  <w:style w:type="paragraph" w:customStyle="1" w:styleId="DecimalAligned">
    <w:name w:val="Decimal Aligned"/>
    <w:basedOn w:val="Normal"/>
    <w:uiPriority w:val="40"/>
    <w:qFormat/>
    <w:rsid w:val="00B33B41"/>
    <w:pPr>
      <w:tabs>
        <w:tab w:val="decimal" w:pos="360"/>
      </w:tabs>
    </w:pPr>
    <w:rPr>
      <w:rFonts w:eastAsiaTheme="minorEastAsia" w:cs="Times New Roman"/>
      <w:noProof w:val="0"/>
    </w:rPr>
  </w:style>
  <w:style w:type="character" w:styleId="SubtleEmphasis">
    <w:name w:val="Subtle Emphasis"/>
    <w:basedOn w:val="DefaultParagraphFont"/>
    <w:uiPriority w:val="19"/>
    <w:qFormat/>
    <w:rsid w:val="00B33B41"/>
    <w:rPr>
      <w:rFonts w:cs="Times New Roman"/>
      <w:i/>
      <w:iCs/>
    </w:rPr>
  </w:style>
  <w:style w:type="paragraph" w:styleId="Header">
    <w:name w:val="header"/>
    <w:basedOn w:val="Normal"/>
    <w:link w:val="HeaderChar"/>
    <w:uiPriority w:val="99"/>
    <w:unhideWhenUsed/>
    <w:rsid w:val="00B33B41"/>
    <w:pPr>
      <w:tabs>
        <w:tab w:val="center" w:pos="4680"/>
        <w:tab w:val="right" w:pos="9360"/>
      </w:tabs>
      <w:spacing w:after="0" w:line="240" w:lineRule="auto"/>
    </w:pPr>
    <w:rPr>
      <w:rFonts w:eastAsia="Times New Roman" w:cs="Arial"/>
      <w:noProof w:val="0"/>
    </w:rPr>
  </w:style>
  <w:style w:type="character" w:customStyle="1" w:styleId="HeaderChar">
    <w:name w:val="Header Char"/>
    <w:basedOn w:val="DefaultParagraphFont"/>
    <w:link w:val="Header"/>
    <w:uiPriority w:val="99"/>
    <w:rsid w:val="00B33B41"/>
    <w:rPr>
      <w:rFonts w:eastAsia="Times New Roman" w:cs="Arial"/>
    </w:rPr>
  </w:style>
  <w:style w:type="paragraph" w:styleId="Footer">
    <w:name w:val="footer"/>
    <w:basedOn w:val="Normal"/>
    <w:link w:val="FooterChar"/>
    <w:uiPriority w:val="99"/>
    <w:unhideWhenUsed/>
    <w:rsid w:val="00B33B41"/>
    <w:pPr>
      <w:tabs>
        <w:tab w:val="center" w:pos="4680"/>
        <w:tab w:val="right" w:pos="9360"/>
      </w:tabs>
      <w:spacing w:after="0" w:line="240" w:lineRule="auto"/>
    </w:pPr>
    <w:rPr>
      <w:rFonts w:eastAsia="Times New Roman" w:cs="Arial"/>
      <w:noProof w:val="0"/>
    </w:rPr>
  </w:style>
  <w:style w:type="character" w:customStyle="1" w:styleId="FooterChar">
    <w:name w:val="Footer Char"/>
    <w:basedOn w:val="DefaultParagraphFont"/>
    <w:link w:val="Footer"/>
    <w:uiPriority w:val="99"/>
    <w:rsid w:val="00B33B41"/>
    <w:rPr>
      <w:rFonts w:eastAsia="Times New Roman" w:cs="Arial"/>
    </w:rPr>
  </w:style>
  <w:style w:type="paragraph" w:styleId="NormalWeb">
    <w:name w:val="Normal (Web)"/>
    <w:basedOn w:val="Normal"/>
    <w:uiPriority w:val="99"/>
    <w:semiHidden/>
    <w:unhideWhenUsed/>
    <w:rsid w:val="00B33B41"/>
    <w:pPr>
      <w:spacing w:before="100" w:beforeAutospacing="1" w:after="100" w:afterAutospacing="1" w:line="240" w:lineRule="auto"/>
    </w:pPr>
    <w:rPr>
      <w:rFonts w:ascii="Times New Roman" w:eastAsia="Times New Roman" w:hAnsi="Times New Roman" w:cs="Times New Roman"/>
      <w:noProof w:val="0"/>
      <w:sz w:val="24"/>
      <w:szCs w:val="24"/>
    </w:rPr>
  </w:style>
  <w:style w:type="table" w:customStyle="1" w:styleId="TableGrid0">
    <w:name w:val="TableGrid"/>
    <w:rsid w:val="00B33B41"/>
    <w:pPr>
      <w:spacing w:after="0" w:line="240" w:lineRule="auto"/>
    </w:pPr>
    <w:rPr>
      <w:rFonts w:eastAsiaTheme="minorEastAsia" w:cs="Arial"/>
    </w:rPr>
    <w:tblPr>
      <w:tblCellMar>
        <w:top w:w="0" w:type="dxa"/>
        <w:left w:w="0" w:type="dxa"/>
        <w:bottom w:w="0" w:type="dxa"/>
        <w:right w:w="0" w:type="dxa"/>
      </w:tblCellMar>
    </w:tblPr>
  </w:style>
  <w:style w:type="paragraph" w:customStyle="1" w:styleId="paralargetext">
    <w:name w:val="paralargetext"/>
    <w:basedOn w:val="Normal"/>
    <w:rsid w:val="00B33B41"/>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odyText">
    <w:name w:val="Body Text"/>
    <w:basedOn w:val="Normal"/>
    <w:link w:val="BodyTextChar"/>
    <w:uiPriority w:val="99"/>
    <w:rsid w:val="00B33B41"/>
    <w:pPr>
      <w:tabs>
        <w:tab w:val="num" w:pos="720"/>
      </w:tabs>
      <w:spacing w:after="240" w:line="240" w:lineRule="auto"/>
      <w:jc w:val="both"/>
    </w:pPr>
    <w:rPr>
      <w:rFonts w:ascii="Times New Roman" w:eastAsia="Times New Roman" w:hAnsi="Times New Roman" w:cs="Times New Roman"/>
      <w:noProof w:val="0"/>
      <w:szCs w:val="20"/>
      <w:lang w:val="en-GB" w:eastAsia="en-GB"/>
    </w:rPr>
  </w:style>
  <w:style w:type="character" w:customStyle="1" w:styleId="BodyTextChar">
    <w:name w:val="Body Text Char"/>
    <w:basedOn w:val="DefaultParagraphFont"/>
    <w:link w:val="BodyText"/>
    <w:uiPriority w:val="99"/>
    <w:rsid w:val="00B33B41"/>
    <w:rPr>
      <w:rFonts w:ascii="Times New Roman" w:eastAsia="Times New Roman" w:hAnsi="Times New Roman" w:cs="Times New Roman"/>
      <w:szCs w:val="20"/>
      <w:lang w:val="en-GB" w:eastAsia="en-GB"/>
    </w:rPr>
  </w:style>
  <w:style w:type="paragraph" w:styleId="BodyText2">
    <w:name w:val="Body Text 2"/>
    <w:basedOn w:val="Normal"/>
    <w:link w:val="BodyText2Char"/>
    <w:uiPriority w:val="99"/>
    <w:rsid w:val="00B33B41"/>
    <w:pPr>
      <w:tabs>
        <w:tab w:val="num" w:pos="720"/>
      </w:tabs>
      <w:spacing w:after="240" w:line="240" w:lineRule="auto"/>
      <w:jc w:val="both"/>
    </w:pPr>
    <w:rPr>
      <w:rFonts w:ascii="Times New Roman" w:eastAsia="Times New Roman" w:hAnsi="Times New Roman" w:cs="Times New Roman"/>
      <w:noProof w:val="0"/>
      <w:szCs w:val="20"/>
      <w:lang w:val="en-GB" w:eastAsia="en-GB"/>
    </w:rPr>
  </w:style>
  <w:style w:type="character" w:customStyle="1" w:styleId="BodyText2Char">
    <w:name w:val="Body Text 2 Char"/>
    <w:basedOn w:val="DefaultParagraphFont"/>
    <w:link w:val="BodyText2"/>
    <w:uiPriority w:val="99"/>
    <w:rsid w:val="00B33B41"/>
    <w:rPr>
      <w:rFonts w:ascii="Times New Roman" w:eastAsia="Times New Roman" w:hAnsi="Times New Roman" w:cs="Times New Roman"/>
      <w:szCs w:val="20"/>
      <w:lang w:val="en-GB" w:eastAsia="en-GB"/>
    </w:rPr>
  </w:style>
  <w:style w:type="paragraph" w:styleId="BodyText3">
    <w:name w:val="Body Text 3"/>
    <w:basedOn w:val="Normal"/>
    <w:link w:val="BodyText3Char"/>
    <w:uiPriority w:val="99"/>
    <w:rsid w:val="00B33B41"/>
    <w:pPr>
      <w:tabs>
        <w:tab w:val="num" w:pos="1440"/>
      </w:tabs>
      <w:spacing w:after="240" w:line="240" w:lineRule="auto"/>
      <w:ind w:left="1440" w:hanging="720"/>
      <w:jc w:val="both"/>
    </w:pPr>
    <w:rPr>
      <w:rFonts w:ascii="Times New Roman" w:eastAsia="Times New Roman" w:hAnsi="Times New Roman" w:cs="Times New Roman"/>
      <w:noProof w:val="0"/>
      <w:szCs w:val="20"/>
      <w:lang w:val="en-GB" w:eastAsia="en-GB"/>
    </w:rPr>
  </w:style>
  <w:style w:type="character" w:customStyle="1" w:styleId="BodyText3Char">
    <w:name w:val="Body Text 3 Char"/>
    <w:basedOn w:val="DefaultParagraphFont"/>
    <w:link w:val="BodyText3"/>
    <w:uiPriority w:val="99"/>
    <w:rsid w:val="00B33B41"/>
    <w:rPr>
      <w:rFonts w:ascii="Times New Roman" w:eastAsia="Times New Roman" w:hAnsi="Times New Roman" w:cs="Times New Roman"/>
      <w:szCs w:val="20"/>
      <w:lang w:val="en-GB" w:eastAsia="en-GB"/>
    </w:rPr>
  </w:style>
  <w:style w:type="table" w:customStyle="1" w:styleId="PlainTable51">
    <w:name w:val="Plain Table 51"/>
    <w:basedOn w:val="TableNormal"/>
    <w:uiPriority w:val="45"/>
    <w:rsid w:val="00B33B41"/>
    <w:pPr>
      <w:spacing w:after="0" w:line="240" w:lineRule="auto"/>
    </w:pPr>
    <w:rPr>
      <w:rFonts w:eastAsia="Times New Roman" w:cs="Ari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tblStylePr w:type="neCell">
      <w:rPr>
        <w:rFonts w:cs="Arial"/>
      </w:rPr>
      <w:tblPr/>
      <w:tcPr>
        <w:tcBorders>
          <w:left w:val="nil"/>
        </w:tcBorders>
      </w:tcPr>
    </w:tblStylePr>
    <w:tblStylePr w:type="nwCell">
      <w:rPr>
        <w:rFonts w:cs="Arial"/>
      </w:rPr>
      <w:tblPr/>
      <w:tcPr>
        <w:tcBorders>
          <w:right w:val="nil"/>
        </w:tcBorders>
      </w:tcPr>
    </w:tblStylePr>
    <w:tblStylePr w:type="seCell">
      <w:rPr>
        <w:rFonts w:cs="Arial"/>
      </w:rPr>
      <w:tblPr/>
      <w:tcPr>
        <w:tcBorders>
          <w:left w:val="nil"/>
        </w:tcBorders>
      </w:tcPr>
    </w:tblStylePr>
    <w:tblStylePr w:type="swCell">
      <w:rPr>
        <w:rFonts w:cs="Arial"/>
      </w:rPr>
      <w:tblPr/>
      <w:tcPr>
        <w:tcBorders>
          <w:right w:val="nil"/>
        </w:tcBorders>
      </w:tcPr>
    </w:tblStylePr>
  </w:style>
  <w:style w:type="paragraph" w:customStyle="1" w:styleId="Style1">
    <w:name w:val="Style1"/>
    <w:basedOn w:val="Heading2"/>
    <w:link w:val="Style1Char"/>
    <w:qFormat/>
    <w:rsid w:val="00B33B41"/>
    <w:rPr>
      <w:rFonts w:asciiTheme="majorBidi" w:hAnsiTheme="majorBidi" w:cs="Times New Roman"/>
      <w:color w:val="000000" w:themeColor="text1"/>
    </w:rPr>
  </w:style>
  <w:style w:type="character" w:customStyle="1" w:styleId="Style1Char">
    <w:name w:val="Style1 Char"/>
    <w:basedOn w:val="Heading2Char"/>
    <w:link w:val="Style1"/>
    <w:locked/>
    <w:rsid w:val="00B33B41"/>
    <w:rPr>
      <w:rFonts w:asciiTheme="majorBidi" w:eastAsiaTheme="majorEastAsia" w:hAnsiTheme="majorBidi" w:cs="Times New Roman"/>
      <w:color w:val="000000" w:themeColor="text1"/>
      <w:sz w:val="26"/>
      <w:szCs w:val="26"/>
    </w:rPr>
  </w:style>
  <w:style w:type="paragraph" w:styleId="TOCHeading">
    <w:name w:val="TOC Heading"/>
    <w:basedOn w:val="Heading1"/>
    <w:next w:val="Normal"/>
    <w:uiPriority w:val="39"/>
    <w:unhideWhenUsed/>
    <w:qFormat/>
    <w:rsid w:val="00B33B41"/>
    <w:pPr>
      <w:spacing w:line="259" w:lineRule="auto"/>
      <w:outlineLvl w:val="9"/>
    </w:pPr>
    <w:rPr>
      <w:rFonts w:cs="Times New Roman"/>
    </w:rPr>
  </w:style>
  <w:style w:type="paragraph" w:styleId="TOC1">
    <w:name w:val="toc 1"/>
    <w:basedOn w:val="Normal"/>
    <w:next w:val="Normal"/>
    <w:autoRedefine/>
    <w:uiPriority w:val="39"/>
    <w:unhideWhenUsed/>
    <w:rsid w:val="00B33B41"/>
    <w:pPr>
      <w:tabs>
        <w:tab w:val="right" w:leader="dot" w:pos="8424"/>
      </w:tabs>
      <w:spacing w:after="100"/>
      <w:ind w:right="144"/>
      <w:jc w:val="both"/>
    </w:pPr>
    <w:rPr>
      <w:rFonts w:asciiTheme="majorBidi" w:eastAsia="Times New Roman" w:hAnsiTheme="majorBidi" w:cs="Arial"/>
      <w:b/>
      <w:bCs/>
    </w:rPr>
  </w:style>
  <w:style w:type="paragraph" w:styleId="TOC2">
    <w:name w:val="toc 2"/>
    <w:basedOn w:val="Normal"/>
    <w:next w:val="Normal"/>
    <w:autoRedefine/>
    <w:uiPriority w:val="39"/>
    <w:unhideWhenUsed/>
    <w:rsid w:val="00B33B41"/>
    <w:pPr>
      <w:tabs>
        <w:tab w:val="left" w:pos="880"/>
        <w:tab w:val="right" w:leader="dot" w:pos="8424"/>
      </w:tabs>
      <w:spacing w:after="100"/>
      <w:ind w:left="216" w:right="144"/>
      <w:jc w:val="both"/>
    </w:pPr>
    <w:rPr>
      <w:rFonts w:eastAsia="Times New Roman" w:cs="Arial"/>
      <w:noProof w:val="0"/>
    </w:rPr>
  </w:style>
  <w:style w:type="paragraph" w:styleId="TOC3">
    <w:name w:val="toc 3"/>
    <w:basedOn w:val="Normal"/>
    <w:next w:val="Normal"/>
    <w:autoRedefine/>
    <w:uiPriority w:val="39"/>
    <w:unhideWhenUsed/>
    <w:rsid w:val="00B33B41"/>
    <w:pPr>
      <w:tabs>
        <w:tab w:val="left" w:pos="1320"/>
        <w:tab w:val="right" w:leader="dot" w:pos="8424"/>
      </w:tabs>
      <w:spacing w:after="100"/>
      <w:ind w:left="216" w:right="144"/>
      <w:jc w:val="both"/>
    </w:pPr>
    <w:rPr>
      <w:rFonts w:eastAsia="Times New Roman" w:cs="Arial"/>
      <w:noProof w:val="0"/>
    </w:rPr>
  </w:style>
  <w:style w:type="character" w:styleId="PlaceholderText">
    <w:name w:val="Placeholder Text"/>
    <w:basedOn w:val="DefaultParagraphFont"/>
    <w:uiPriority w:val="99"/>
    <w:semiHidden/>
    <w:rsid w:val="00B33B41"/>
    <w:rPr>
      <w:rFonts w:cs="Times New Roman"/>
      <w:color w:val="808080"/>
    </w:rPr>
  </w:style>
  <w:style w:type="paragraph" w:styleId="TableofFigures">
    <w:name w:val="table of figures"/>
    <w:basedOn w:val="Normal"/>
    <w:next w:val="Normal"/>
    <w:uiPriority w:val="99"/>
    <w:unhideWhenUsed/>
    <w:rsid w:val="00B33B41"/>
    <w:pPr>
      <w:spacing w:after="0"/>
    </w:pPr>
    <w:rPr>
      <w:rFonts w:eastAsia="Times New Roman" w:cs="Arial"/>
      <w:noProof w:val="0"/>
    </w:rPr>
  </w:style>
  <w:style w:type="paragraph" w:styleId="NoSpacing">
    <w:name w:val="No Spacing"/>
    <w:link w:val="NoSpacingChar"/>
    <w:uiPriority w:val="1"/>
    <w:qFormat/>
    <w:rsid w:val="00B33B41"/>
    <w:pPr>
      <w:spacing w:after="0" w:line="240" w:lineRule="auto"/>
    </w:pPr>
    <w:rPr>
      <w:rFonts w:eastAsiaTheme="minorEastAsia" w:cs="Arial"/>
    </w:rPr>
  </w:style>
  <w:style w:type="character" w:customStyle="1" w:styleId="NoSpacingChar">
    <w:name w:val="No Spacing Char"/>
    <w:basedOn w:val="DefaultParagraphFont"/>
    <w:link w:val="NoSpacing"/>
    <w:uiPriority w:val="1"/>
    <w:locked/>
    <w:rsid w:val="00B33B41"/>
    <w:rPr>
      <w:rFonts w:eastAsiaTheme="minorEastAsia" w:cs="Arial"/>
    </w:rPr>
  </w:style>
  <w:style w:type="character" w:styleId="EndnoteReference">
    <w:name w:val="endnote reference"/>
    <w:basedOn w:val="DefaultParagraphFont"/>
    <w:uiPriority w:val="99"/>
    <w:semiHidden/>
    <w:unhideWhenUsed/>
    <w:rsid w:val="00B33B41"/>
    <w:rPr>
      <w:rFonts w:cs="Times New Roman"/>
      <w:vertAlign w:val="superscript"/>
    </w:rPr>
  </w:style>
  <w:style w:type="character" w:customStyle="1" w:styleId="UnresolvedMention">
    <w:name w:val="Unresolved Mention"/>
    <w:basedOn w:val="DefaultParagraphFont"/>
    <w:uiPriority w:val="99"/>
    <w:semiHidden/>
    <w:unhideWhenUsed/>
    <w:rsid w:val="0033739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paragraph" w:styleId="Heading1">
    <w:name w:val="heading 1"/>
    <w:basedOn w:val="Normal"/>
    <w:next w:val="Normal"/>
    <w:link w:val="Heading1Char"/>
    <w:uiPriority w:val="9"/>
    <w:qFormat/>
    <w:rsid w:val="00BD1033"/>
    <w:pPr>
      <w:keepNext/>
      <w:keepLines/>
      <w:spacing w:before="240" w:after="0"/>
      <w:outlineLvl w:val="0"/>
    </w:pPr>
    <w:rPr>
      <w:rFonts w:asciiTheme="majorHAnsi" w:eastAsiaTheme="majorEastAsia" w:hAnsiTheme="majorHAnsi" w:cstheme="majorBidi"/>
      <w:noProof w:val="0"/>
      <w:color w:val="365F91" w:themeColor="accent1" w:themeShade="BF"/>
      <w:sz w:val="32"/>
      <w:szCs w:val="32"/>
    </w:rPr>
  </w:style>
  <w:style w:type="paragraph" w:styleId="Heading2">
    <w:name w:val="heading 2"/>
    <w:basedOn w:val="Normal"/>
    <w:next w:val="Normal"/>
    <w:link w:val="Heading2Char"/>
    <w:uiPriority w:val="9"/>
    <w:unhideWhenUsed/>
    <w:qFormat/>
    <w:rsid w:val="00BD1033"/>
    <w:pPr>
      <w:keepNext/>
      <w:keepLines/>
      <w:spacing w:before="40" w:after="0"/>
      <w:outlineLvl w:val="1"/>
    </w:pPr>
    <w:rPr>
      <w:rFonts w:asciiTheme="majorHAnsi" w:eastAsiaTheme="majorEastAsia" w:hAnsiTheme="majorHAnsi" w:cstheme="majorBidi"/>
      <w:noProof w:val="0"/>
      <w:color w:val="365F91" w:themeColor="accent1" w:themeShade="BF"/>
      <w:sz w:val="26"/>
      <w:szCs w:val="26"/>
    </w:rPr>
  </w:style>
  <w:style w:type="paragraph" w:styleId="Heading3">
    <w:name w:val="heading 3"/>
    <w:basedOn w:val="Normal"/>
    <w:next w:val="Normal"/>
    <w:link w:val="Heading3Char"/>
    <w:uiPriority w:val="9"/>
    <w:unhideWhenUsed/>
    <w:qFormat/>
    <w:rsid w:val="0038602B"/>
    <w:pPr>
      <w:keepNext/>
      <w:keepLines/>
      <w:spacing w:before="40" w:after="0"/>
      <w:outlineLvl w:val="2"/>
    </w:pPr>
    <w:rPr>
      <w:rFonts w:asciiTheme="majorHAnsi" w:eastAsiaTheme="majorEastAsia" w:hAnsiTheme="majorHAnsi" w:cs="Times New Roman"/>
      <w:noProof w:val="0"/>
      <w:color w:val="243F60" w:themeColor="accent1" w:themeShade="7F"/>
      <w:sz w:val="24"/>
      <w:szCs w:val="24"/>
    </w:rPr>
  </w:style>
  <w:style w:type="paragraph" w:styleId="Heading4">
    <w:name w:val="heading 4"/>
    <w:basedOn w:val="Normal"/>
    <w:next w:val="Normal"/>
    <w:link w:val="Heading4Char"/>
    <w:uiPriority w:val="9"/>
    <w:unhideWhenUsed/>
    <w:qFormat/>
    <w:rsid w:val="0038602B"/>
    <w:pPr>
      <w:keepNext/>
      <w:keepLines/>
      <w:spacing w:before="40" w:after="0"/>
      <w:outlineLvl w:val="3"/>
    </w:pPr>
    <w:rPr>
      <w:rFonts w:asciiTheme="majorHAnsi" w:eastAsiaTheme="majorEastAsia" w:hAnsiTheme="majorHAnsi" w:cs="Times New Roman"/>
      <w:i/>
      <w:iCs/>
      <w:noProof w:val="0"/>
      <w:color w:val="365F91" w:themeColor="accent1" w:themeShade="BF"/>
    </w:rPr>
  </w:style>
  <w:style w:type="paragraph" w:styleId="Heading5">
    <w:name w:val="heading 5"/>
    <w:basedOn w:val="Normal"/>
    <w:next w:val="Normal"/>
    <w:link w:val="Heading5Char"/>
    <w:uiPriority w:val="9"/>
    <w:unhideWhenUsed/>
    <w:qFormat/>
    <w:rsid w:val="00B33B41"/>
    <w:pPr>
      <w:keepNext/>
      <w:keepLines/>
      <w:spacing w:before="40" w:after="0"/>
      <w:outlineLvl w:val="4"/>
    </w:pPr>
    <w:rPr>
      <w:rFonts w:asciiTheme="majorHAnsi" w:eastAsiaTheme="majorEastAsia" w:hAnsiTheme="majorHAnsi" w:cs="Times New Roman"/>
      <w:noProof w:val="0"/>
      <w:color w:val="365F91" w:themeColor="accent1" w:themeShade="BF"/>
    </w:rPr>
  </w:style>
  <w:style w:type="paragraph" w:styleId="Heading6">
    <w:name w:val="heading 6"/>
    <w:basedOn w:val="Normal"/>
    <w:next w:val="Normal"/>
    <w:link w:val="Heading6Char"/>
    <w:uiPriority w:val="9"/>
    <w:semiHidden/>
    <w:unhideWhenUsed/>
    <w:qFormat/>
    <w:rsid w:val="00B33B41"/>
    <w:pPr>
      <w:keepNext/>
      <w:keepLines/>
      <w:spacing w:before="40" w:after="0"/>
      <w:outlineLvl w:val="5"/>
    </w:pPr>
    <w:rPr>
      <w:rFonts w:asciiTheme="majorHAnsi" w:eastAsiaTheme="majorEastAsia" w:hAnsiTheme="majorHAnsi" w:cs="Times New Roman"/>
      <w:noProof w:val="0"/>
      <w:color w:val="243F60" w:themeColor="accent1" w:themeShade="7F"/>
    </w:rPr>
  </w:style>
  <w:style w:type="paragraph" w:styleId="Heading7">
    <w:name w:val="heading 7"/>
    <w:basedOn w:val="Normal"/>
    <w:next w:val="Normal"/>
    <w:link w:val="Heading7Char"/>
    <w:uiPriority w:val="9"/>
    <w:semiHidden/>
    <w:unhideWhenUsed/>
    <w:qFormat/>
    <w:rsid w:val="00B33B41"/>
    <w:pPr>
      <w:keepNext/>
      <w:keepLines/>
      <w:spacing w:before="40" w:after="0"/>
      <w:outlineLvl w:val="6"/>
    </w:pPr>
    <w:rPr>
      <w:rFonts w:asciiTheme="majorHAnsi" w:eastAsiaTheme="majorEastAsia" w:hAnsiTheme="majorHAnsi" w:cs="Times New Roman"/>
      <w:i/>
      <w:iCs/>
      <w:noProof w:val="0"/>
      <w:color w:val="243F60" w:themeColor="accent1" w:themeShade="7F"/>
    </w:rPr>
  </w:style>
  <w:style w:type="paragraph" w:styleId="Heading8">
    <w:name w:val="heading 8"/>
    <w:basedOn w:val="Normal"/>
    <w:next w:val="Normal"/>
    <w:link w:val="Heading8Char"/>
    <w:uiPriority w:val="9"/>
    <w:semiHidden/>
    <w:unhideWhenUsed/>
    <w:qFormat/>
    <w:rsid w:val="00B33B41"/>
    <w:pPr>
      <w:keepNext/>
      <w:keepLines/>
      <w:spacing w:before="40" w:after="0"/>
      <w:outlineLvl w:val="7"/>
    </w:pPr>
    <w:rPr>
      <w:rFonts w:asciiTheme="majorHAnsi" w:eastAsiaTheme="majorEastAsia" w:hAnsiTheme="majorHAnsi" w:cs="Times New Roman"/>
      <w:noProof w:val="0"/>
      <w:color w:val="272727" w:themeColor="text1" w:themeTint="D8"/>
      <w:sz w:val="21"/>
      <w:szCs w:val="21"/>
    </w:rPr>
  </w:style>
  <w:style w:type="paragraph" w:styleId="Heading9">
    <w:name w:val="heading 9"/>
    <w:basedOn w:val="Normal"/>
    <w:next w:val="Normal"/>
    <w:link w:val="Heading9Char"/>
    <w:uiPriority w:val="9"/>
    <w:semiHidden/>
    <w:unhideWhenUsed/>
    <w:qFormat/>
    <w:rsid w:val="00B33B41"/>
    <w:pPr>
      <w:keepNext/>
      <w:keepLines/>
      <w:spacing w:before="40" w:after="0"/>
      <w:outlineLvl w:val="8"/>
    </w:pPr>
    <w:rPr>
      <w:rFonts w:asciiTheme="majorHAnsi" w:eastAsiaTheme="majorEastAsia" w:hAnsiTheme="majorHAnsi" w:cs="Times New Roman"/>
      <w:i/>
      <w:iCs/>
      <w:noProof w:val="0"/>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3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755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5A6"/>
    <w:rPr>
      <w:rFonts w:ascii="Tahoma" w:hAnsi="Tahoma" w:cs="Tahoma"/>
      <w:noProof/>
      <w:sz w:val="16"/>
      <w:szCs w:val="16"/>
    </w:rPr>
  </w:style>
  <w:style w:type="character" w:customStyle="1" w:styleId="Heading1Char">
    <w:name w:val="Heading 1 Char"/>
    <w:basedOn w:val="DefaultParagraphFont"/>
    <w:link w:val="Heading1"/>
    <w:uiPriority w:val="9"/>
    <w:rsid w:val="00BD10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D1033"/>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unhideWhenUsed/>
    <w:rsid w:val="00BD1033"/>
    <w:pPr>
      <w:spacing w:after="0" w:line="240" w:lineRule="auto"/>
    </w:pPr>
    <w:rPr>
      <w:noProof w:val="0"/>
      <w:sz w:val="20"/>
      <w:szCs w:val="20"/>
    </w:rPr>
  </w:style>
  <w:style w:type="character" w:customStyle="1" w:styleId="FootnoteTextChar">
    <w:name w:val="Footnote Text Char"/>
    <w:basedOn w:val="DefaultParagraphFont"/>
    <w:link w:val="FootnoteText"/>
    <w:uiPriority w:val="99"/>
    <w:rsid w:val="00BD1033"/>
    <w:rPr>
      <w:sz w:val="20"/>
      <w:szCs w:val="20"/>
    </w:rPr>
  </w:style>
  <w:style w:type="character" w:styleId="FootnoteReference">
    <w:name w:val="footnote reference"/>
    <w:basedOn w:val="DefaultParagraphFont"/>
    <w:uiPriority w:val="99"/>
    <w:semiHidden/>
    <w:unhideWhenUsed/>
    <w:rsid w:val="00BD1033"/>
    <w:rPr>
      <w:vertAlign w:val="superscript"/>
    </w:rPr>
  </w:style>
  <w:style w:type="character" w:styleId="Hyperlink">
    <w:name w:val="Hyperlink"/>
    <w:basedOn w:val="DefaultParagraphFont"/>
    <w:uiPriority w:val="99"/>
    <w:unhideWhenUsed/>
    <w:rsid w:val="00003A02"/>
    <w:rPr>
      <w:color w:val="0000FF" w:themeColor="hyperlink"/>
      <w:u w:val="single"/>
    </w:rPr>
  </w:style>
  <w:style w:type="character" w:customStyle="1" w:styleId="Heading3Char">
    <w:name w:val="Heading 3 Char"/>
    <w:basedOn w:val="DefaultParagraphFont"/>
    <w:link w:val="Heading3"/>
    <w:uiPriority w:val="9"/>
    <w:rsid w:val="0038602B"/>
    <w:rPr>
      <w:rFonts w:asciiTheme="majorHAnsi" w:eastAsiaTheme="majorEastAsia" w:hAnsiTheme="majorHAnsi" w:cs="Times New Roman"/>
      <w:color w:val="243F60" w:themeColor="accent1" w:themeShade="7F"/>
      <w:sz w:val="24"/>
      <w:szCs w:val="24"/>
    </w:rPr>
  </w:style>
  <w:style w:type="paragraph" w:styleId="Caption">
    <w:name w:val="caption"/>
    <w:basedOn w:val="Normal"/>
    <w:next w:val="Normal"/>
    <w:uiPriority w:val="35"/>
    <w:unhideWhenUsed/>
    <w:qFormat/>
    <w:rsid w:val="0038602B"/>
    <w:pPr>
      <w:spacing w:line="240" w:lineRule="auto"/>
    </w:pPr>
    <w:rPr>
      <w:rFonts w:eastAsia="Times New Roman" w:cs="Arial"/>
      <w:i/>
      <w:iCs/>
      <w:noProof w:val="0"/>
      <w:color w:val="1F497D" w:themeColor="text2"/>
      <w:sz w:val="18"/>
      <w:szCs w:val="18"/>
    </w:rPr>
  </w:style>
  <w:style w:type="character" w:customStyle="1" w:styleId="Heading4Char">
    <w:name w:val="Heading 4 Char"/>
    <w:basedOn w:val="DefaultParagraphFont"/>
    <w:link w:val="Heading4"/>
    <w:uiPriority w:val="9"/>
    <w:rsid w:val="0038602B"/>
    <w:rPr>
      <w:rFonts w:asciiTheme="majorHAnsi" w:eastAsiaTheme="majorEastAsia" w:hAnsiTheme="majorHAnsi" w:cs="Times New Roman"/>
      <w:i/>
      <w:iCs/>
      <w:color w:val="365F91" w:themeColor="accent1" w:themeShade="BF"/>
    </w:rPr>
  </w:style>
  <w:style w:type="character" w:customStyle="1" w:styleId="Heading5Char">
    <w:name w:val="Heading 5 Char"/>
    <w:basedOn w:val="DefaultParagraphFont"/>
    <w:link w:val="Heading5"/>
    <w:uiPriority w:val="9"/>
    <w:rsid w:val="00B33B41"/>
    <w:rPr>
      <w:rFonts w:asciiTheme="majorHAnsi" w:eastAsiaTheme="majorEastAsia" w:hAnsiTheme="majorHAnsi" w:cs="Times New Roman"/>
      <w:color w:val="365F91" w:themeColor="accent1" w:themeShade="BF"/>
    </w:rPr>
  </w:style>
  <w:style w:type="character" w:customStyle="1" w:styleId="Heading6Char">
    <w:name w:val="Heading 6 Char"/>
    <w:basedOn w:val="DefaultParagraphFont"/>
    <w:link w:val="Heading6"/>
    <w:uiPriority w:val="9"/>
    <w:semiHidden/>
    <w:rsid w:val="00B33B41"/>
    <w:rPr>
      <w:rFonts w:asciiTheme="majorHAnsi" w:eastAsiaTheme="majorEastAsia" w:hAnsiTheme="majorHAnsi" w:cs="Times New Roman"/>
      <w:color w:val="243F60" w:themeColor="accent1" w:themeShade="7F"/>
    </w:rPr>
  </w:style>
  <w:style w:type="character" w:customStyle="1" w:styleId="Heading7Char">
    <w:name w:val="Heading 7 Char"/>
    <w:basedOn w:val="DefaultParagraphFont"/>
    <w:link w:val="Heading7"/>
    <w:uiPriority w:val="9"/>
    <w:semiHidden/>
    <w:rsid w:val="00B33B41"/>
    <w:rPr>
      <w:rFonts w:asciiTheme="majorHAnsi" w:eastAsiaTheme="majorEastAsia" w:hAnsiTheme="majorHAnsi" w:cs="Times New Roman"/>
      <w:i/>
      <w:iCs/>
      <w:color w:val="243F60" w:themeColor="accent1" w:themeShade="7F"/>
    </w:rPr>
  </w:style>
  <w:style w:type="character" w:customStyle="1" w:styleId="Heading8Char">
    <w:name w:val="Heading 8 Char"/>
    <w:basedOn w:val="DefaultParagraphFont"/>
    <w:link w:val="Heading8"/>
    <w:uiPriority w:val="9"/>
    <w:semiHidden/>
    <w:rsid w:val="00B33B41"/>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B33B41"/>
    <w:rPr>
      <w:rFonts w:asciiTheme="majorHAnsi" w:eastAsiaTheme="majorEastAsia" w:hAnsiTheme="majorHAnsi" w:cs="Times New Roman"/>
      <w:i/>
      <w:iCs/>
      <w:color w:val="272727" w:themeColor="text1" w:themeTint="D8"/>
      <w:sz w:val="21"/>
      <w:szCs w:val="21"/>
    </w:rPr>
  </w:style>
  <w:style w:type="paragraph" w:styleId="ListParagraph">
    <w:name w:val="List Paragraph"/>
    <w:basedOn w:val="Normal"/>
    <w:uiPriority w:val="34"/>
    <w:qFormat/>
    <w:rsid w:val="00B33B41"/>
    <w:pPr>
      <w:ind w:left="720"/>
      <w:contextualSpacing/>
    </w:pPr>
    <w:rPr>
      <w:rFonts w:eastAsia="Times New Roman" w:cs="Arial"/>
      <w:noProof w:val="0"/>
      <w:lang w:val="es-ES"/>
    </w:rPr>
  </w:style>
  <w:style w:type="paragraph" w:styleId="IntenseQuote">
    <w:name w:val="Intense Quote"/>
    <w:basedOn w:val="Normal"/>
    <w:next w:val="Normal"/>
    <w:link w:val="IntenseQuoteChar"/>
    <w:uiPriority w:val="30"/>
    <w:qFormat/>
    <w:rsid w:val="00B33B41"/>
    <w:pPr>
      <w:pBdr>
        <w:top w:val="single" w:sz="4" w:space="10" w:color="000000" w:themeColor="text1"/>
        <w:bottom w:val="single" w:sz="4" w:space="10" w:color="000000" w:themeColor="text1"/>
      </w:pBdr>
      <w:spacing w:before="360" w:after="360"/>
      <w:ind w:left="864" w:right="864"/>
      <w:jc w:val="center"/>
    </w:pPr>
    <w:rPr>
      <w:rFonts w:eastAsia="Times New Roman" w:cs="Arial"/>
      <w:i/>
      <w:iCs/>
      <w:noProof w:val="0"/>
      <w:color w:val="000000" w:themeColor="text1"/>
    </w:rPr>
  </w:style>
  <w:style w:type="character" w:customStyle="1" w:styleId="IntenseQuoteChar">
    <w:name w:val="Intense Quote Char"/>
    <w:basedOn w:val="DefaultParagraphFont"/>
    <w:link w:val="IntenseQuote"/>
    <w:uiPriority w:val="30"/>
    <w:rsid w:val="00B33B41"/>
    <w:rPr>
      <w:rFonts w:eastAsia="Times New Roman" w:cs="Arial"/>
      <w:i/>
      <w:iCs/>
      <w:color w:val="000000" w:themeColor="text1"/>
    </w:rPr>
  </w:style>
  <w:style w:type="character" w:customStyle="1" w:styleId="text">
    <w:name w:val="text"/>
    <w:rsid w:val="00B33B41"/>
    <w:rPr>
      <w:rFonts w:ascii="Cambria Math" w:hAnsi="Cambria Math"/>
      <w:i/>
    </w:rPr>
  </w:style>
  <w:style w:type="character" w:customStyle="1" w:styleId="ref-lnk">
    <w:name w:val="ref-lnk"/>
    <w:basedOn w:val="DefaultParagraphFont"/>
    <w:rsid w:val="00B33B41"/>
    <w:rPr>
      <w:rFonts w:cs="Times New Roman"/>
    </w:rPr>
  </w:style>
  <w:style w:type="character" w:customStyle="1" w:styleId="ref-overlay">
    <w:name w:val="ref-overlay"/>
    <w:basedOn w:val="DefaultParagraphFont"/>
    <w:rsid w:val="00B33B41"/>
    <w:rPr>
      <w:rFonts w:cs="Times New Roman"/>
    </w:rPr>
  </w:style>
  <w:style w:type="character" w:customStyle="1" w:styleId="hlfld-contribauthor">
    <w:name w:val="hlfld-contribauthor"/>
    <w:basedOn w:val="DefaultParagraphFont"/>
    <w:rsid w:val="00B33B41"/>
    <w:rPr>
      <w:rFonts w:cs="Times New Roman"/>
    </w:rPr>
  </w:style>
  <w:style w:type="character" w:customStyle="1" w:styleId="nlmgiven-names">
    <w:name w:val="nlm_given-names"/>
    <w:basedOn w:val="DefaultParagraphFont"/>
    <w:rsid w:val="00B33B41"/>
    <w:rPr>
      <w:rFonts w:cs="Times New Roman"/>
    </w:rPr>
  </w:style>
  <w:style w:type="character" w:customStyle="1" w:styleId="nlmyear">
    <w:name w:val="nlm_year"/>
    <w:basedOn w:val="DefaultParagraphFont"/>
    <w:rsid w:val="00B33B41"/>
    <w:rPr>
      <w:rFonts w:cs="Times New Roman"/>
    </w:rPr>
  </w:style>
  <w:style w:type="character" w:customStyle="1" w:styleId="nlmpublisher-loc">
    <w:name w:val="nlm_publisher-loc"/>
    <w:basedOn w:val="DefaultParagraphFont"/>
    <w:rsid w:val="00B33B41"/>
    <w:rPr>
      <w:rFonts w:cs="Times New Roman"/>
    </w:rPr>
  </w:style>
  <w:style w:type="paragraph" w:customStyle="1" w:styleId="DecimalAligned">
    <w:name w:val="Decimal Aligned"/>
    <w:basedOn w:val="Normal"/>
    <w:uiPriority w:val="40"/>
    <w:qFormat/>
    <w:rsid w:val="00B33B41"/>
    <w:pPr>
      <w:tabs>
        <w:tab w:val="decimal" w:pos="360"/>
      </w:tabs>
    </w:pPr>
    <w:rPr>
      <w:rFonts w:eastAsiaTheme="minorEastAsia" w:cs="Times New Roman"/>
      <w:noProof w:val="0"/>
    </w:rPr>
  </w:style>
  <w:style w:type="character" w:styleId="SubtleEmphasis">
    <w:name w:val="Subtle Emphasis"/>
    <w:basedOn w:val="DefaultParagraphFont"/>
    <w:uiPriority w:val="19"/>
    <w:qFormat/>
    <w:rsid w:val="00B33B41"/>
    <w:rPr>
      <w:rFonts w:cs="Times New Roman"/>
      <w:i/>
      <w:iCs/>
    </w:rPr>
  </w:style>
  <w:style w:type="paragraph" w:styleId="Header">
    <w:name w:val="header"/>
    <w:basedOn w:val="Normal"/>
    <w:link w:val="HeaderChar"/>
    <w:uiPriority w:val="99"/>
    <w:unhideWhenUsed/>
    <w:rsid w:val="00B33B41"/>
    <w:pPr>
      <w:tabs>
        <w:tab w:val="center" w:pos="4680"/>
        <w:tab w:val="right" w:pos="9360"/>
      </w:tabs>
      <w:spacing w:after="0" w:line="240" w:lineRule="auto"/>
    </w:pPr>
    <w:rPr>
      <w:rFonts w:eastAsia="Times New Roman" w:cs="Arial"/>
      <w:noProof w:val="0"/>
    </w:rPr>
  </w:style>
  <w:style w:type="character" w:customStyle="1" w:styleId="HeaderChar">
    <w:name w:val="Header Char"/>
    <w:basedOn w:val="DefaultParagraphFont"/>
    <w:link w:val="Header"/>
    <w:uiPriority w:val="99"/>
    <w:rsid w:val="00B33B41"/>
    <w:rPr>
      <w:rFonts w:eastAsia="Times New Roman" w:cs="Arial"/>
    </w:rPr>
  </w:style>
  <w:style w:type="paragraph" w:styleId="Footer">
    <w:name w:val="footer"/>
    <w:basedOn w:val="Normal"/>
    <w:link w:val="FooterChar"/>
    <w:uiPriority w:val="99"/>
    <w:unhideWhenUsed/>
    <w:rsid w:val="00B33B41"/>
    <w:pPr>
      <w:tabs>
        <w:tab w:val="center" w:pos="4680"/>
        <w:tab w:val="right" w:pos="9360"/>
      </w:tabs>
      <w:spacing w:after="0" w:line="240" w:lineRule="auto"/>
    </w:pPr>
    <w:rPr>
      <w:rFonts w:eastAsia="Times New Roman" w:cs="Arial"/>
      <w:noProof w:val="0"/>
    </w:rPr>
  </w:style>
  <w:style w:type="character" w:customStyle="1" w:styleId="FooterChar">
    <w:name w:val="Footer Char"/>
    <w:basedOn w:val="DefaultParagraphFont"/>
    <w:link w:val="Footer"/>
    <w:uiPriority w:val="99"/>
    <w:rsid w:val="00B33B41"/>
    <w:rPr>
      <w:rFonts w:eastAsia="Times New Roman" w:cs="Arial"/>
    </w:rPr>
  </w:style>
  <w:style w:type="paragraph" w:styleId="NormalWeb">
    <w:name w:val="Normal (Web)"/>
    <w:basedOn w:val="Normal"/>
    <w:uiPriority w:val="99"/>
    <w:semiHidden/>
    <w:unhideWhenUsed/>
    <w:rsid w:val="00B33B41"/>
    <w:pPr>
      <w:spacing w:before="100" w:beforeAutospacing="1" w:after="100" w:afterAutospacing="1" w:line="240" w:lineRule="auto"/>
    </w:pPr>
    <w:rPr>
      <w:rFonts w:ascii="Times New Roman" w:eastAsia="Times New Roman" w:hAnsi="Times New Roman" w:cs="Times New Roman"/>
      <w:noProof w:val="0"/>
      <w:sz w:val="24"/>
      <w:szCs w:val="24"/>
    </w:rPr>
  </w:style>
  <w:style w:type="table" w:customStyle="1" w:styleId="TableGrid0">
    <w:name w:val="TableGrid"/>
    <w:rsid w:val="00B33B41"/>
    <w:pPr>
      <w:spacing w:after="0" w:line="240" w:lineRule="auto"/>
    </w:pPr>
    <w:rPr>
      <w:rFonts w:eastAsiaTheme="minorEastAsia" w:cs="Arial"/>
    </w:rPr>
    <w:tblPr>
      <w:tblCellMar>
        <w:top w:w="0" w:type="dxa"/>
        <w:left w:w="0" w:type="dxa"/>
        <w:bottom w:w="0" w:type="dxa"/>
        <w:right w:w="0" w:type="dxa"/>
      </w:tblCellMar>
    </w:tblPr>
  </w:style>
  <w:style w:type="paragraph" w:customStyle="1" w:styleId="paralargetext">
    <w:name w:val="paralargetext"/>
    <w:basedOn w:val="Normal"/>
    <w:rsid w:val="00B33B41"/>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odyText">
    <w:name w:val="Body Text"/>
    <w:basedOn w:val="Normal"/>
    <w:link w:val="BodyTextChar"/>
    <w:uiPriority w:val="99"/>
    <w:rsid w:val="00B33B41"/>
    <w:pPr>
      <w:tabs>
        <w:tab w:val="num" w:pos="720"/>
      </w:tabs>
      <w:spacing w:after="240" w:line="240" w:lineRule="auto"/>
      <w:jc w:val="both"/>
    </w:pPr>
    <w:rPr>
      <w:rFonts w:ascii="Times New Roman" w:eastAsia="Times New Roman" w:hAnsi="Times New Roman" w:cs="Times New Roman"/>
      <w:noProof w:val="0"/>
      <w:szCs w:val="20"/>
      <w:lang w:val="en-GB" w:eastAsia="en-GB"/>
    </w:rPr>
  </w:style>
  <w:style w:type="character" w:customStyle="1" w:styleId="BodyTextChar">
    <w:name w:val="Body Text Char"/>
    <w:basedOn w:val="DefaultParagraphFont"/>
    <w:link w:val="BodyText"/>
    <w:uiPriority w:val="99"/>
    <w:rsid w:val="00B33B41"/>
    <w:rPr>
      <w:rFonts w:ascii="Times New Roman" w:eastAsia="Times New Roman" w:hAnsi="Times New Roman" w:cs="Times New Roman"/>
      <w:szCs w:val="20"/>
      <w:lang w:val="en-GB" w:eastAsia="en-GB"/>
    </w:rPr>
  </w:style>
  <w:style w:type="paragraph" w:styleId="BodyText2">
    <w:name w:val="Body Text 2"/>
    <w:basedOn w:val="Normal"/>
    <w:link w:val="BodyText2Char"/>
    <w:uiPriority w:val="99"/>
    <w:rsid w:val="00B33B41"/>
    <w:pPr>
      <w:tabs>
        <w:tab w:val="num" w:pos="720"/>
      </w:tabs>
      <w:spacing w:after="240" w:line="240" w:lineRule="auto"/>
      <w:jc w:val="both"/>
    </w:pPr>
    <w:rPr>
      <w:rFonts w:ascii="Times New Roman" w:eastAsia="Times New Roman" w:hAnsi="Times New Roman" w:cs="Times New Roman"/>
      <w:noProof w:val="0"/>
      <w:szCs w:val="20"/>
      <w:lang w:val="en-GB" w:eastAsia="en-GB"/>
    </w:rPr>
  </w:style>
  <w:style w:type="character" w:customStyle="1" w:styleId="BodyText2Char">
    <w:name w:val="Body Text 2 Char"/>
    <w:basedOn w:val="DefaultParagraphFont"/>
    <w:link w:val="BodyText2"/>
    <w:uiPriority w:val="99"/>
    <w:rsid w:val="00B33B41"/>
    <w:rPr>
      <w:rFonts w:ascii="Times New Roman" w:eastAsia="Times New Roman" w:hAnsi="Times New Roman" w:cs="Times New Roman"/>
      <w:szCs w:val="20"/>
      <w:lang w:val="en-GB" w:eastAsia="en-GB"/>
    </w:rPr>
  </w:style>
  <w:style w:type="paragraph" w:styleId="BodyText3">
    <w:name w:val="Body Text 3"/>
    <w:basedOn w:val="Normal"/>
    <w:link w:val="BodyText3Char"/>
    <w:uiPriority w:val="99"/>
    <w:rsid w:val="00B33B41"/>
    <w:pPr>
      <w:tabs>
        <w:tab w:val="num" w:pos="1440"/>
      </w:tabs>
      <w:spacing w:after="240" w:line="240" w:lineRule="auto"/>
      <w:ind w:left="1440" w:hanging="720"/>
      <w:jc w:val="both"/>
    </w:pPr>
    <w:rPr>
      <w:rFonts w:ascii="Times New Roman" w:eastAsia="Times New Roman" w:hAnsi="Times New Roman" w:cs="Times New Roman"/>
      <w:noProof w:val="0"/>
      <w:szCs w:val="20"/>
      <w:lang w:val="en-GB" w:eastAsia="en-GB"/>
    </w:rPr>
  </w:style>
  <w:style w:type="character" w:customStyle="1" w:styleId="BodyText3Char">
    <w:name w:val="Body Text 3 Char"/>
    <w:basedOn w:val="DefaultParagraphFont"/>
    <w:link w:val="BodyText3"/>
    <w:uiPriority w:val="99"/>
    <w:rsid w:val="00B33B41"/>
    <w:rPr>
      <w:rFonts w:ascii="Times New Roman" w:eastAsia="Times New Roman" w:hAnsi="Times New Roman" w:cs="Times New Roman"/>
      <w:szCs w:val="20"/>
      <w:lang w:val="en-GB" w:eastAsia="en-GB"/>
    </w:rPr>
  </w:style>
  <w:style w:type="table" w:customStyle="1" w:styleId="PlainTable51">
    <w:name w:val="Plain Table 51"/>
    <w:basedOn w:val="TableNormal"/>
    <w:uiPriority w:val="45"/>
    <w:rsid w:val="00B33B41"/>
    <w:pPr>
      <w:spacing w:after="0" w:line="240" w:lineRule="auto"/>
    </w:pPr>
    <w:rPr>
      <w:rFonts w:eastAsia="Times New Roman" w:cs="Ari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Arial"/>
      </w:rPr>
      <w:tblPr/>
      <w:tcPr>
        <w:shd w:val="clear" w:color="auto" w:fill="F2F2F2" w:themeFill="background1" w:themeFillShade="F2"/>
      </w:tcPr>
    </w:tblStylePr>
    <w:tblStylePr w:type="band1Horz">
      <w:rPr>
        <w:rFonts w:cs="Arial"/>
      </w:rPr>
      <w:tblPr/>
      <w:tcPr>
        <w:shd w:val="clear" w:color="auto" w:fill="F2F2F2" w:themeFill="background1" w:themeFillShade="F2"/>
      </w:tcPr>
    </w:tblStylePr>
    <w:tblStylePr w:type="neCell">
      <w:rPr>
        <w:rFonts w:cs="Arial"/>
      </w:rPr>
      <w:tblPr/>
      <w:tcPr>
        <w:tcBorders>
          <w:left w:val="nil"/>
        </w:tcBorders>
      </w:tcPr>
    </w:tblStylePr>
    <w:tblStylePr w:type="nwCell">
      <w:rPr>
        <w:rFonts w:cs="Arial"/>
      </w:rPr>
      <w:tblPr/>
      <w:tcPr>
        <w:tcBorders>
          <w:right w:val="nil"/>
        </w:tcBorders>
      </w:tcPr>
    </w:tblStylePr>
    <w:tblStylePr w:type="seCell">
      <w:rPr>
        <w:rFonts w:cs="Arial"/>
      </w:rPr>
      <w:tblPr/>
      <w:tcPr>
        <w:tcBorders>
          <w:left w:val="nil"/>
        </w:tcBorders>
      </w:tcPr>
    </w:tblStylePr>
    <w:tblStylePr w:type="swCell">
      <w:rPr>
        <w:rFonts w:cs="Arial"/>
      </w:rPr>
      <w:tblPr/>
      <w:tcPr>
        <w:tcBorders>
          <w:right w:val="nil"/>
        </w:tcBorders>
      </w:tcPr>
    </w:tblStylePr>
  </w:style>
  <w:style w:type="paragraph" w:customStyle="1" w:styleId="Style1">
    <w:name w:val="Style1"/>
    <w:basedOn w:val="Heading2"/>
    <w:link w:val="Style1Char"/>
    <w:qFormat/>
    <w:rsid w:val="00B33B41"/>
    <w:rPr>
      <w:rFonts w:asciiTheme="majorBidi" w:hAnsiTheme="majorBidi" w:cs="Times New Roman"/>
      <w:color w:val="000000" w:themeColor="text1"/>
    </w:rPr>
  </w:style>
  <w:style w:type="character" w:customStyle="1" w:styleId="Style1Char">
    <w:name w:val="Style1 Char"/>
    <w:basedOn w:val="Heading2Char"/>
    <w:link w:val="Style1"/>
    <w:locked/>
    <w:rsid w:val="00B33B41"/>
    <w:rPr>
      <w:rFonts w:asciiTheme="majorBidi" w:eastAsiaTheme="majorEastAsia" w:hAnsiTheme="majorBidi" w:cs="Times New Roman"/>
      <w:color w:val="000000" w:themeColor="text1"/>
      <w:sz w:val="26"/>
      <w:szCs w:val="26"/>
    </w:rPr>
  </w:style>
  <w:style w:type="paragraph" w:styleId="TOCHeading">
    <w:name w:val="TOC Heading"/>
    <w:basedOn w:val="Heading1"/>
    <w:next w:val="Normal"/>
    <w:uiPriority w:val="39"/>
    <w:unhideWhenUsed/>
    <w:qFormat/>
    <w:rsid w:val="00B33B41"/>
    <w:pPr>
      <w:spacing w:line="259" w:lineRule="auto"/>
      <w:outlineLvl w:val="9"/>
    </w:pPr>
    <w:rPr>
      <w:rFonts w:cs="Times New Roman"/>
    </w:rPr>
  </w:style>
  <w:style w:type="paragraph" w:styleId="TOC1">
    <w:name w:val="toc 1"/>
    <w:basedOn w:val="Normal"/>
    <w:next w:val="Normal"/>
    <w:autoRedefine/>
    <w:uiPriority w:val="39"/>
    <w:unhideWhenUsed/>
    <w:rsid w:val="00B33B41"/>
    <w:pPr>
      <w:tabs>
        <w:tab w:val="right" w:leader="dot" w:pos="8424"/>
      </w:tabs>
      <w:spacing w:after="100"/>
      <w:ind w:right="144"/>
      <w:jc w:val="both"/>
    </w:pPr>
    <w:rPr>
      <w:rFonts w:asciiTheme="majorBidi" w:eastAsia="Times New Roman" w:hAnsiTheme="majorBidi" w:cs="Arial"/>
      <w:b/>
      <w:bCs/>
    </w:rPr>
  </w:style>
  <w:style w:type="paragraph" w:styleId="TOC2">
    <w:name w:val="toc 2"/>
    <w:basedOn w:val="Normal"/>
    <w:next w:val="Normal"/>
    <w:autoRedefine/>
    <w:uiPriority w:val="39"/>
    <w:unhideWhenUsed/>
    <w:rsid w:val="00B33B41"/>
    <w:pPr>
      <w:tabs>
        <w:tab w:val="left" w:pos="880"/>
        <w:tab w:val="right" w:leader="dot" w:pos="8424"/>
      </w:tabs>
      <w:spacing w:after="100"/>
      <w:ind w:left="216" w:right="144"/>
      <w:jc w:val="both"/>
    </w:pPr>
    <w:rPr>
      <w:rFonts w:eastAsia="Times New Roman" w:cs="Arial"/>
      <w:noProof w:val="0"/>
    </w:rPr>
  </w:style>
  <w:style w:type="paragraph" w:styleId="TOC3">
    <w:name w:val="toc 3"/>
    <w:basedOn w:val="Normal"/>
    <w:next w:val="Normal"/>
    <w:autoRedefine/>
    <w:uiPriority w:val="39"/>
    <w:unhideWhenUsed/>
    <w:rsid w:val="00B33B41"/>
    <w:pPr>
      <w:tabs>
        <w:tab w:val="left" w:pos="1320"/>
        <w:tab w:val="right" w:leader="dot" w:pos="8424"/>
      </w:tabs>
      <w:spacing w:after="100"/>
      <w:ind w:left="216" w:right="144"/>
      <w:jc w:val="both"/>
    </w:pPr>
    <w:rPr>
      <w:rFonts w:eastAsia="Times New Roman" w:cs="Arial"/>
      <w:noProof w:val="0"/>
    </w:rPr>
  </w:style>
  <w:style w:type="character" w:styleId="PlaceholderText">
    <w:name w:val="Placeholder Text"/>
    <w:basedOn w:val="DefaultParagraphFont"/>
    <w:uiPriority w:val="99"/>
    <w:semiHidden/>
    <w:rsid w:val="00B33B41"/>
    <w:rPr>
      <w:rFonts w:cs="Times New Roman"/>
      <w:color w:val="808080"/>
    </w:rPr>
  </w:style>
  <w:style w:type="paragraph" w:styleId="TableofFigures">
    <w:name w:val="table of figures"/>
    <w:basedOn w:val="Normal"/>
    <w:next w:val="Normal"/>
    <w:uiPriority w:val="99"/>
    <w:unhideWhenUsed/>
    <w:rsid w:val="00B33B41"/>
    <w:pPr>
      <w:spacing w:after="0"/>
    </w:pPr>
    <w:rPr>
      <w:rFonts w:eastAsia="Times New Roman" w:cs="Arial"/>
      <w:noProof w:val="0"/>
    </w:rPr>
  </w:style>
  <w:style w:type="paragraph" w:styleId="NoSpacing">
    <w:name w:val="No Spacing"/>
    <w:link w:val="NoSpacingChar"/>
    <w:uiPriority w:val="1"/>
    <w:qFormat/>
    <w:rsid w:val="00B33B41"/>
    <w:pPr>
      <w:spacing w:after="0" w:line="240" w:lineRule="auto"/>
    </w:pPr>
    <w:rPr>
      <w:rFonts w:eastAsiaTheme="minorEastAsia" w:cs="Arial"/>
    </w:rPr>
  </w:style>
  <w:style w:type="character" w:customStyle="1" w:styleId="NoSpacingChar">
    <w:name w:val="No Spacing Char"/>
    <w:basedOn w:val="DefaultParagraphFont"/>
    <w:link w:val="NoSpacing"/>
    <w:uiPriority w:val="1"/>
    <w:locked/>
    <w:rsid w:val="00B33B41"/>
    <w:rPr>
      <w:rFonts w:eastAsiaTheme="minorEastAsia" w:cs="Arial"/>
    </w:rPr>
  </w:style>
  <w:style w:type="character" w:styleId="EndnoteReference">
    <w:name w:val="endnote reference"/>
    <w:basedOn w:val="DefaultParagraphFont"/>
    <w:uiPriority w:val="99"/>
    <w:semiHidden/>
    <w:unhideWhenUsed/>
    <w:rsid w:val="00B33B41"/>
    <w:rPr>
      <w:rFonts w:cs="Times New Roman"/>
      <w:vertAlign w:val="superscript"/>
    </w:rPr>
  </w:style>
  <w:style w:type="character" w:customStyle="1" w:styleId="UnresolvedMention">
    <w:name w:val="Unresolved Mention"/>
    <w:basedOn w:val="DefaultParagraphFont"/>
    <w:uiPriority w:val="99"/>
    <w:semiHidden/>
    <w:unhideWhenUsed/>
    <w:rsid w:val="00337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3632">
      <w:bodyDiv w:val="1"/>
      <w:marLeft w:val="0"/>
      <w:marRight w:val="0"/>
      <w:marTop w:val="0"/>
      <w:marBottom w:val="0"/>
      <w:divBdr>
        <w:top w:val="none" w:sz="0" w:space="0" w:color="auto"/>
        <w:left w:val="none" w:sz="0" w:space="0" w:color="auto"/>
        <w:bottom w:val="none" w:sz="0" w:space="0" w:color="auto"/>
        <w:right w:val="none" w:sz="0" w:space="0" w:color="auto"/>
      </w:divBdr>
    </w:div>
    <w:div w:id="983317732">
      <w:bodyDiv w:val="1"/>
      <w:marLeft w:val="0"/>
      <w:marRight w:val="0"/>
      <w:marTop w:val="0"/>
      <w:marBottom w:val="0"/>
      <w:divBdr>
        <w:top w:val="none" w:sz="0" w:space="0" w:color="auto"/>
        <w:left w:val="none" w:sz="0" w:space="0" w:color="auto"/>
        <w:bottom w:val="none" w:sz="0" w:space="0" w:color="auto"/>
        <w:right w:val="none" w:sz="0" w:space="0" w:color="auto"/>
      </w:divBdr>
    </w:div>
    <w:div w:id="100258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boughanh@squ.edu.om" TargetMode="External"/><Relationship Id="rId4" Type="http://schemas.microsoft.com/office/2007/relationships/stylesWithEffects" Target="stylesWithEffects.xml"/><Relationship Id="rId9" Type="http://schemas.openxmlformats.org/officeDocument/2006/relationships/hyperlink" Target="mailto:bonjour3k5@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file:///C:\Users\Administrator\AppData\Local\Microsoft\Windows\Temporary%20Internet%20Files\Content.Outlook\XFIBYN9W\(https:\globaledge.msu.edu\global-insights\by\trade-bloc)" TargetMode="External"/><Relationship Id="rId2" Type="http://schemas.openxmlformats.org/officeDocument/2006/relationships/hyperlink" Target="http://msu.edu/" TargetMode="External"/><Relationship Id="rId1" Type="http://schemas.openxmlformats.org/officeDocument/2006/relationships/hyperlink" Target="file:///C:\Users\Abda'Allah\Desktop\INDIAN%20OCEAN%20RIM%20ASSOCIATION%20PROJECT\FINAL%20THESIS\Full%20Thesis\(http:\www.gatewayhouse.in\south-africa-chairs-%20%20%20%20brics-iora\)" TargetMode="External"/><Relationship Id="rId6" Type="http://schemas.openxmlformats.org/officeDocument/2006/relationships/hyperlink" Target="http://rtais.wto.org" TargetMode="External"/><Relationship Id="rId5" Type="http://schemas.openxmlformats.org/officeDocument/2006/relationships/hyperlink" Target="http://www.cepii.fr/anglaisgraph/bdd/distances.htm" TargetMode="External"/><Relationship Id="rId4" Type="http://schemas.openxmlformats.org/officeDocument/2006/relationships/hyperlink" Target="http://www.trademap.org"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53939710625418"/>
          <c:y val="3.8155746335806671E-2"/>
          <c:w val="0.68073726553631597"/>
          <c:h val="0.63207150339274631"/>
        </c:manualLayout>
      </c:layout>
      <c:lineChart>
        <c:grouping val="standard"/>
        <c:varyColors val="0"/>
        <c:ser>
          <c:idx val="0"/>
          <c:order val="0"/>
          <c:tx>
            <c:strRef>
              <c:f>[FIGURES.xlsx]Sheet2!$B$60</c:f>
              <c:strCache>
                <c:ptCount val="1"/>
                <c:pt idx="0">
                  <c:v>IORA</c:v>
                </c:pt>
              </c:strCache>
            </c:strRef>
          </c:tx>
          <c:spPr>
            <a:ln w="12700" cap="rnd">
              <a:solidFill>
                <a:schemeClr val="accent1"/>
              </a:solidFill>
              <a:round/>
            </a:ln>
            <a:effectLst/>
          </c:spPr>
          <c:marker>
            <c:symbol val="none"/>
          </c:marker>
          <c:cat>
            <c:numRef>
              <c:f>[FIGURES.xlsx]Sheet2!$C$59:$L$59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[FIGURES.xlsx]Sheet2!$C$60:$L$60</c:f>
              <c:numCache>
                <c:formatCode>General</c:formatCode>
                <c:ptCount val="10"/>
                <c:pt idx="0">
                  <c:v>21.2</c:v>
                </c:pt>
                <c:pt idx="1">
                  <c:v>17.700000000000003</c:v>
                </c:pt>
                <c:pt idx="2">
                  <c:v>14.200000000000001</c:v>
                </c:pt>
                <c:pt idx="3">
                  <c:v>17.5</c:v>
                </c:pt>
                <c:pt idx="4">
                  <c:v>15.9</c:v>
                </c:pt>
                <c:pt idx="5">
                  <c:v>22.1</c:v>
                </c:pt>
                <c:pt idx="6">
                  <c:v>7.2000000000000011</c:v>
                </c:pt>
                <c:pt idx="7">
                  <c:v>8.1000000000000014</c:v>
                </c:pt>
                <c:pt idx="8">
                  <c:v>10.4</c:v>
                </c:pt>
                <c:pt idx="9">
                  <c:v>13.9</c:v>
                </c:pt>
              </c:numCache>
            </c:numRef>
          </c:val>
          <c:smooth val="0"/>
          <c:extLst xmlns:c16r2="http://schemas.microsoft.com/office/drawing/2015/06/chart">
            <c:ext xmlns:c16="http://schemas.microsoft.com/office/drawing/2014/chart" uri="{C3380CC4-5D6E-409C-BE32-E72D297353CC}">
              <c16:uniqueId val="{00000000-173C-472A-A801-89CBFB576CA1}"/>
            </c:ext>
          </c:extLst>
        </c:ser>
        <c:ser>
          <c:idx val="1"/>
          <c:order val="1"/>
          <c:tx>
            <c:strRef>
              <c:f>[FIGURES.xlsx]Sheet2!$B$61</c:f>
              <c:strCache>
                <c:ptCount val="1"/>
                <c:pt idx="0">
                  <c:v>GCC</c:v>
                </c:pt>
              </c:strCache>
            </c:strRef>
          </c:tx>
          <c:spPr>
            <a:ln w="12700" cap="rnd">
              <a:solidFill>
                <a:schemeClr val="accent2"/>
              </a:solidFill>
              <a:round/>
            </a:ln>
            <a:effectLst/>
          </c:spPr>
          <c:marker>
            <c:symbol val="none"/>
          </c:marker>
          <c:cat>
            <c:numRef>
              <c:f>[FIGURES.xlsx]Sheet2!$C$59:$L$59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[FIGURES.xlsx]Sheet2!$C$61:$L$61</c:f>
              <c:numCache>
                <c:formatCode>General</c:formatCode>
                <c:ptCount val="10"/>
                <c:pt idx="0">
                  <c:v>1.9000000000000004</c:v>
                </c:pt>
                <c:pt idx="1">
                  <c:v>1.9000000000000004</c:v>
                </c:pt>
                <c:pt idx="2">
                  <c:v>2.5</c:v>
                </c:pt>
                <c:pt idx="3">
                  <c:v>3.6999999999999993</c:v>
                </c:pt>
                <c:pt idx="4">
                  <c:v>3.2000000000000011</c:v>
                </c:pt>
                <c:pt idx="5">
                  <c:v>3.1999999999999993</c:v>
                </c:pt>
                <c:pt idx="6">
                  <c:v>2.6999999999999997</c:v>
                </c:pt>
                <c:pt idx="7">
                  <c:v>6.1</c:v>
                </c:pt>
                <c:pt idx="8">
                  <c:v>3.8</c:v>
                </c:pt>
                <c:pt idx="9">
                  <c:v>4.9000000000000004</c:v>
                </c:pt>
              </c:numCache>
            </c:numRef>
          </c:val>
          <c:smooth val="0"/>
          <c:extLst xmlns:c16r2="http://schemas.microsoft.com/office/drawing/2015/06/chart">
            <c:ext xmlns:c16="http://schemas.microsoft.com/office/drawing/2014/chart" uri="{C3380CC4-5D6E-409C-BE32-E72D297353CC}">
              <c16:uniqueId val="{00000001-173C-472A-A801-89CBFB576CA1}"/>
            </c:ext>
          </c:extLst>
        </c:ser>
        <c:ser>
          <c:idx val="2"/>
          <c:order val="2"/>
          <c:tx>
            <c:strRef>
              <c:f>[FIGURES.xlsx]Sheet2!$B$62</c:f>
              <c:strCache>
                <c:ptCount val="1"/>
                <c:pt idx="0">
                  <c:v>GAFTA</c:v>
                </c:pt>
              </c:strCache>
            </c:strRef>
          </c:tx>
          <c:spPr>
            <a:ln w="12700" cap="rnd">
              <a:solidFill>
                <a:schemeClr val="accent3"/>
              </a:solidFill>
              <a:round/>
            </a:ln>
            <a:effectLst/>
          </c:spPr>
          <c:marker>
            <c:symbol val="none"/>
          </c:marker>
          <c:cat>
            <c:numRef>
              <c:f>[FIGURES.xlsx]Sheet2!$C$59:$L$59</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[FIGURES.xlsx]Sheet2!$C$62:$L$62</c:f>
              <c:numCache>
                <c:formatCode>General</c:formatCode>
                <c:ptCount val="10"/>
                <c:pt idx="0">
                  <c:v>3.0999999999999996</c:v>
                </c:pt>
                <c:pt idx="1">
                  <c:v>3.3000000000000007</c:v>
                </c:pt>
                <c:pt idx="2">
                  <c:v>4</c:v>
                </c:pt>
                <c:pt idx="3">
                  <c:v>6.1999999999999993</c:v>
                </c:pt>
                <c:pt idx="4">
                  <c:v>5.0999999999999996</c:v>
                </c:pt>
                <c:pt idx="5">
                  <c:v>4.5999999999999996</c:v>
                </c:pt>
                <c:pt idx="6">
                  <c:v>4.9000000000000004</c:v>
                </c:pt>
                <c:pt idx="7">
                  <c:v>7.6999999999999993</c:v>
                </c:pt>
                <c:pt idx="8">
                  <c:v>4.9000000000000004</c:v>
                </c:pt>
                <c:pt idx="9">
                  <c:v>8.9</c:v>
                </c:pt>
              </c:numCache>
            </c:numRef>
          </c:val>
          <c:smooth val="0"/>
          <c:extLst xmlns:c16r2="http://schemas.microsoft.com/office/drawing/2015/06/chart">
            <c:ext xmlns:c16="http://schemas.microsoft.com/office/drawing/2014/chart" uri="{C3380CC4-5D6E-409C-BE32-E72D297353CC}">
              <c16:uniqueId val="{00000002-173C-472A-A801-89CBFB576CA1}"/>
            </c:ext>
          </c:extLst>
        </c:ser>
        <c:dLbls>
          <c:showLegendKey val="0"/>
          <c:showVal val="0"/>
          <c:showCatName val="0"/>
          <c:showSerName val="0"/>
          <c:showPercent val="0"/>
          <c:showBubbleSize val="0"/>
        </c:dLbls>
        <c:marker val="1"/>
        <c:smooth val="0"/>
        <c:axId val="100743424"/>
        <c:axId val="100745600"/>
      </c:lineChart>
      <c:catAx>
        <c:axId val="100743424"/>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45600"/>
        <c:crosses val="autoZero"/>
        <c:auto val="1"/>
        <c:lblAlgn val="ctr"/>
        <c:lblOffset val="100"/>
        <c:noMultiLvlLbl val="0"/>
      </c:catAx>
      <c:valAx>
        <c:axId val="10074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r>
                  <a:rPr lang="en-US" sz="800">
                    <a:solidFill>
                      <a:sysClr val="windowText" lastClr="000000"/>
                    </a:solidFill>
                  </a:rPr>
                  <a:t>% Of Total Export</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7434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'iora intra trade'!$E$28</c:f>
              <c:strCache>
                <c:ptCount val="1"/>
                <c:pt idx="0">
                  <c:v>import share from world</c:v>
                </c:pt>
              </c:strCache>
            </c:strRef>
          </c:tx>
          <c:spPr>
            <a:solidFill>
              <a:schemeClr val="accent1"/>
            </a:solidFill>
            <a:ln>
              <a:noFill/>
            </a:ln>
            <a:effectLst/>
          </c:spPr>
          <c:invertIfNegative val="0"/>
          <c:cat>
            <c:numRef>
              <c:f>'iora intra trade'!$F$27:$O$27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'iora intra trade'!$F$28:$O$28</c:f>
              <c:numCache>
                <c:formatCode>General</c:formatCode>
                <c:ptCount val="10"/>
                <c:pt idx="0">
                  <c:v>8.6</c:v>
                </c:pt>
                <c:pt idx="1">
                  <c:v>9.6</c:v>
                </c:pt>
                <c:pt idx="2">
                  <c:v>10.6</c:v>
                </c:pt>
                <c:pt idx="3">
                  <c:v>9.8000000000000007</c:v>
                </c:pt>
                <c:pt idx="4">
                  <c:v>10.4</c:v>
                </c:pt>
                <c:pt idx="5">
                  <c:v>10.7</c:v>
                </c:pt>
                <c:pt idx="6">
                  <c:v>12.5</c:v>
                </c:pt>
                <c:pt idx="7">
                  <c:v>12.3</c:v>
                </c:pt>
                <c:pt idx="8">
                  <c:v>11.8</c:v>
                </c:pt>
                <c:pt idx="9">
                  <c:v>11.7</c:v>
                </c:pt>
              </c:numCache>
            </c:numRef>
          </c:val>
          <c:extLst xmlns:c16r2="http://schemas.microsoft.com/office/drawing/2015/06/chart">
            <c:ext xmlns:c16="http://schemas.microsoft.com/office/drawing/2014/chart" uri="{C3380CC4-5D6E-409C-BE32-E72D297353CC}">
              <c16:uniqueId val="{00000000-C8E8-4224-B499-8C8B2EC401D8}"/>
            </c:ext>
          </c:extLst>
        </c:ser>
        <c:ser>
          <c:idx val="1"/>
          <c:order val="1"/>
          <c:tx>
            <c:strRef>
              <c:f>'iora intra trade'!$E$29</c:f>
              <c:strCache>
                <c:ptCount val="1"/>
                <c:pt idx="0">
                  <c:v>export share to world</c:v>
                </c:pt>
              </c:strCache>
            </c:strRef>
          </c:tx>
          <c:spPr>
            <a:solidFill>
              <a:schemeClr val="accent2"/>
            </a:solidFill>
            <a:ln>
              <a:noFill/>
            </a:ln>
            <a:effectLst/>
          </c:spPr>
          <c:invertIfNegative val="0"/>
          <c:cat>
            <c:numRef>
              <c:f>'iora intra trade'!$F$27:$O$27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'iora intra trade'!$F$29:$O$29</c:f>
              <c:numCache>
                <c:formatCode>General</c:formatCode>
                <c:ptCount val="10"/>
                <c:pt idx="0">
                  <c:v>9.1</c:v>
                </c:pt>
                <c:pt idx="1">
                  <c:v>10.199999999999999</c:v>
                </c:pt>
                <c:pt idx="2">
                  <c:v>10.6</c:v>
                </c:pt>
                <c:pt idx="3">
                  <c:v>9.9</c:v>
                </c:pt>
                <c:pt idx="4">
                  <c:v>10.7</c:v>
                </c:pt>
                <c:pt idx="5">
                  <c:v>11</c:v>
                </c:pt>
                <c:pt idx="6">
                  <c:v>12.5</c:v>
                </c:pt>
                <c:pt idx="7">
                  <c:v>12.3</c:v>
                </c:pt>
                <c:pt idx="8">
                  <c:v>11.9</c:v>
                </c:pt>
                <c:pt idx="9">
                  <c:v>11.3</c:v>
                </c:pt>
              </c:numCache>
            </c:numRef>
          </c:val>
          <c:extLst xmlns:c16r2="http://schemas.microsoft.com/office/drawing/2015/06/chart">
            <c:ext xmlns:c16="http://schemas.microsoft.com/office/drawing/2014/chart" uri="{C3380CC4-5D6E-409C-BE32-E72D297353CC}">
              <c16:uniqueId val="{00000001-C8E8-4224-B499-8C8B2EC401D8}"/>
            </c:ext>
          </c:extLst>
        </c:ser>
        <c:ser>
          <c:idx val="2"/>
          <c:order val="2"/>
          <c:tx>
            <c:strRef>
              <c:f>'iora intra trade'!$E$30</c:f>
              <c:strCache>
                <c:ptCount val="1"/>
                <c:pt idx="0">
                  <c:v>intra-regional share</c:v>
                </c:pt>
              </c:strCache>
            </c:strRef>
          </c:tx>
          <c:spPr>
            <a:solidFill>
              <a:schemeClr val="accent3"/>
            </a:solidFill>
            <a:ln>
              <a:noFill/>
            </a:ln>
            <a:effectLst/>
          </c:spPr>
          <c:invertIfNegative val="0"/>
          <c:cat>
            <c:numRef>
              <c:f>'iora intra trade'!$F$27:$O$27</c:f>
              <c:numCache>
                <c:formatCode>General</c:formatCode>
                <c:ptCount val="10"/>
                <c:pt idx="0">
                  <c:v>2006</c:v>
                </c:pt>
                <c:pt idx="1">
                  <c:v>2007</c:v>
                </c:pt>
                <c:pt idx="2">
                  <c:v>2008</c:v>
                </c:pt>
                <c:pt idx="3">
                  <c:v>2009</c:v>
                </c:pt>
                <c:pt idx="4">
                  <c:v>2010</c:v>
                </c:pt>
                <c:pt idx="5">
                  <c:v>2011</c:v>
                </c:pt>
                <c:pt idx="6">
                  <c:v>2012</c:v>
                </c:pt>
                <c:pt idx="7">
                  <c:v>2013</c:v>
                </c:pt>
                <c:pt idx="8">
                  <c:v>2014</c:v>
                </c:pt>
                <c:pt idx="9">
                  <c:v>2015</c:v>
                </c:pt>
              </c:numCache>
            </c:numRef>
          </c:cat>
          <c:val>
            <c:numRef>
              <c:f>'iora intra trade'!$F$30:$O$30</c:f>
              <c:numCache>
                <c:formatCode>General</c:formatCode>
                <c:ptCount val="10"/>
                <c:pt idx="0">
                  <c:v>28.3</c:v>
                </c:pt>
                <c:pt idx="1">
                  <c:v>25.4</c:v>
                </c:pt>
                <c:pt idx="2">
                  <c:v>25.9</c:v>
                </c:pt>
                <c:pt idx="3">
                  <c:v>31.8</c:v>
                </c:pt>
                <c:pt idx="4">
                  <c:v>31.1</c:v>
                </c:pt>
                <c:pt idx="5">
                  <c:v>31.3</c:v>
                </c:pt>
                <c:pt idx="6">
                  <c:v>25.4</c:v>
                </c:pt>
                <c:pt idx="7">
                  <c:v>25.1</c:v>
                </c:pt>
                <c:pt idx="8">
                  <c:v>24.9</c:v>
                </c:pt>
                <c:pt idx="9">
                  <c:v>24.1</c:v>
                </c:pt>
              </c:numCache>
            </c:numRef>
          </c:val>
          <c:extLst xmlns:c16r2="http://schemas.microsoft.com/office/drawing/2015/06/chart">
            <c:ext xmlns:c16="http://schemas.microsoft.com/office/drawing/2014/chart" uri="{C3380CC4-5D6E-409C-BE32-E72D297353CC}">
              <c16:uniqueId val="{00000002-C8E8-4224-B499-8C8B2EC401D8}"/>
            </c:ext>
          </c:extLst>
        </c:ser>
        <c:dLbls>
          <c:showLegendKey val="0"/>
          <c:showVal val="0"/>
          <c:showCatName val="0"/>
          <c:showSerName val="0"/>
          <c:showPercent val="0"/>
          <c:showBubbleSize val="0"/>
        </c:dLbls>
        <c:gapWidth val="219"/>
        <c:overlap val="-27"/>
        <c:axId val="111901696"/>
        <c:axId val="148657280"/>
      </c:barChart>
      <c:catAx>
        <c:axId val="111901696"/>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r>
                  <a:rPr lang="en-US" sz="800">
                    <a:solidFill>
                      <a:schemeClr val="tx1"/>
                    </a:solidFill>
                  </a:rPr>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657280"/>
        <c:crosses val="autoZero"/>
        <c:auto val="1"/>
        <c:lblAlgn val="ctr"/>
        <c:lblOffset val="100"/>
        <c:noMultiLvlLbl val="0"/>
      </c:catAx>
      <c:valAx>
        <c:axId val="148657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solidFill>
                    <a:latin typeface="+mn-lt"/>
                    <a:ea typeface="+mn-ea"/>
                    <a:cs typeface="+mn-cs"/>
                  </a:defRPr>
                </a:pPr>
                <a:r>
                  <a:rPr lang="en-US" sz="800">
                    <a:solidFill>
                      <a:schemeClr val="tx1"/>
                    </a:solidFill>
                  </a:rPr>
                  <a:t>Percentage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901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72428413038093"/>
          <c:y val="0.13227606864472366"/>
          <c:w val="0.77658616471568054"/>
          <c:h val="0.62142809974985935"/>
        </c:manualLayout>
      </c:layout>
      <c:lineChart>
        <c:grouping val="standard"/>
        <c:varyColors val="0"/>
        <c:ser>
          <c:idx val="0"/>
          <c:order val="0"/>
          <c:tx>
            <c:strRef>
              <c:f>Sheet13!$B$14</c:f>
              <c:strCache>
                <c:ptCount val="1"/>
                <c:pt idx="0">
                  <c:v>Export</c:v>
                </c:pt>
              </c:strCache>
            </c:strRef>
          </c:tx>
          <c:spPr>
            <a:ln w="12700" cap="rnd">
              <a:solidFill>
                <a:schemeClr val="accent1"/>
              </a:solidFill>
              <a:round/>
            </a:ln>
            <a:effectLst/>
          </c:spPr>
          <c:marker>
            <c:symbol val="none"/>
          </c:marker>
          <c:cat>
            <c:numRef>
              <c:f>Sheet13!$C$13:$Q$13</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Sheet13!$C$14:$Q$14</c:f>
              <c:numCache>
                <c:formatCode>#,##0</c:formatCode>
                <c:ptCount val="15"/>
                <c:pt idx="0">
                  <c:v>11073950</c:v>
                </c:pt>
                <c:pt idx="1">
                  <c:v>11237019</c:v>
                </c:pt>
                <c:pt idx="2">
                  <c:v>12196358</c:v>
                </c:pt>
                <c:pt idx="3">
                  <c:v>13380753</c:v>
                </c:pt>
                <c:pt idx="4">
                  <c:v>18691546</c:v>
                </c:pt>
                <c:pt idx="5">
                  <c:v>21585733</c:v>
                </c:pt>
                <c:pt idx="6">
                  <c:v>24691545</c:v>
                </c:pt>
                <c:pt idx="7">
                  <c:v>37719141</c:v>
                </c:pt>
                <c:pt idx="8">
                  <c:v>27650631</c:v>
                </c:pt>
                <c:pt idx="9">
                  <c:v>36599577</c:v>
                </c:pt>
                <c:pt idx="10">
                  <c:v>47091873</c:v>
                </c:pt>
                <c:pt idx="11">
                  <c:v>52138226</c:v>
                </c:pt>
                <c:pt idx="12">
                  <c:v>55497131</c:v>
                </c:pt>
                <c:pt idx="13">
                  <c:v>50718324</c:v>
                </c:pt>
                <c:pt idx="14">
                  <c:v>31926531</c:v>
                </c:pt>
              </c:numCache>
            </c:numRef>
          </c:val>
          <c:smooth val="0"/>
          <c:extLst xmlns:c16r2="http://schemas.microsoft.com/office/drawing/2015/06/chart">
            <c:ext xmlns:c16="http://schemas.microsoft.com/office/drawing/2014/chart" uri="{C3380CC4-5D6E-409C-BE32-E72D297353CC}">
              <c16:uniqueId val="{00000000-EF17-45AD-8361-9C04B13962F4}"/>
            </c:ext>
          </c:extLst>
        </c:ser>
        <c:ser>
          <c:idx val="1"/>
          <c:order val="1"/>
          <c:tx>
            <c:strRef>
              <c:f>Sheet13!$B$15</c:f>
              <c:strCache>
                <c:ptCount val="1"/>
                <c:pt idx="0">
                  <c:v>Import</c:v>
                </c:pt>
              </c:strCache>
            </c:strRef>
          </c:tx>
          <c:spPr>
            <a:ln w="12700" cap="rnd">
              <a:solidFill>
                <a:schemeClr val="accent2"/>
              </a:solidFill>
              <a:round/>
            </a:ln>
            <a:effectLst/>
          </c:spPr>
          <c:marker>
            <c:symbol val="none"/>
          </c:marker>
          <c:cat>
            <c:numRef>
              <c:f>Sheet13!$C$13:$Q$13</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Sheet13!$C$15:$Q$15</c:f>
              <c:numCache>
                <c:formatCode>#,##0</c:formatCode>
                <c:ptCount val="15"/>
                <c:pt idx="0">
                  <c:v>5797974</c:v>
                </c:pt>
                <c:pt idx="1">
                  <c:v>6005161</c:v>
                </c:pt>
                <c:pt idx="2">
                  <c:v>6801040</c:v>
                </c:pt>
                <c:pt idx="3">
                  <c:v>8795530</c:v>
                </c:pt>
                <c:pt idx="4">
                  <c:v>8969945</c:v>
                </c:pt>
                <c:pt idx="5">
                  <c:v>11038363</c:v>
                </c:pt>
                <c:pt idx="6">
                  <c:v>16024706</c:v>
                </c:pt>
                <c:pt idx="7">
                  <c:v>22924681</c:v>
                </c:pt>
                <c:pt idx="8">
                  <c:v>17851474</c:v>
                </c:pt>
                <c:pt idx="9">
                  <c:v>19774506</c:v>
                </c:pt>
                <c:pt idx="10">
                  <c:v>23619398</c:v>
                </c:pt>
                <c:pt idx="11">
                  <c:v>28117623</c:v>
                </c:pt>
                <c:pt idx="12">
                  <c:v>34331193</c:v>
                </c:pt>
                <c:pt idx="13">
                  <c:v>29303100</c:v>
                </c:pt>
                <c:pt idx="14">
                  <c:v>29007335</c:v>
                </c:pt>
              </c:numCache>
            </c:numRef>
          </c:val>
          <c:smooth val="0"/>
          <c:extLst xmlns:c16r2="http://schemas.microsoft.com/office/drawing/2015/06/chart">
            <c:ext xmlns:c16="http://schemas.microsoft.com/office/drawing/2014/chart" uri="{C3380CC4-5D6E-409C-BE32-E72D297353CC}">
              <c16:uniqueId val="{00000001-EF17-45AD-8361-9C04B13962F4}"/>
            </c:ext>
          </c:extLst>
        </c:ser>
        <c:dLbls>
          <c:showLegendKey val="0"/>
          <c:showVal val="0"/>
          <c:showCatName val="0"/>
          <c:showSerName val="0"/>
          <c:showPercent val="0"/>
          <c:showBubbleSize val="0"/>
        </c:dLbls>
        <c:marker val="1"/>
        <c:smooth val="0"/>
        <c:axId val="100797056"/>
        <c:axId val="100799232"/>
      </c:lineChart>
      <c:catAx>
        <c:axId val="1007970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800">
                    <a:solidFill>
                      <a:schemeClr val="tx1"/>
                    </a:solidFill>
                  </a:rPr>
                  <a:t>Years</a:t>
                </a:r>
              </a:p>
            </c:rich>
          </c:tx>
          <c:layout>
            <c:manualLayout>
              <c:xMode val="edge"/>
              <c:yMode val="edge"/>
              <c:x val="0.48235216250142632"/>
              <c:y val="0.9124216202817242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99232"/>
        <c:crosses val="autoZero"/>
        <c:auto val="1"/>
        <c:lblAlgn val="ctr"/>
        <c:lblOffset val="100"/>
        <c:noMultiLvlLbl val="0"/>
      </c:catAx>
      <c:valAx>
        <c:axId val="100799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800">
                    <a:solidFill>
                      <a:schemeClr val="tx1"/>
                    </a:solidFill>
                  </a:rPr>
                  <a:t>US Dollar (Thousands)</a:t>
                </a:r>
              </a:p>
            </c:rich>
          </c:tx>
          <c:layout>
            <c:manualLayout>
              <c:xMode val="edge"/>
              <c:yMode val="edge"/>
              <c:x val="1.807103133087385E-2"/>
              <c:y val="0.14354645669291335"/>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0797056"/>
        <c:crosses val="autoZero"/>
        <c:crossBetween val="between"/>
      </c:valAx>
      <c:spPr>
        <a:noFill/>
        <a:ln>
          <a:noFill/>
        </a:ln>
        <a:effectLst/>
      </c:spPr>
    </c:plotArea>
    <c:legend>
      <c:legendPos val="t"/>
      <c:layout>
        <c:manualLayout>
          <c:xMode val="edge"/>
          <c:yMode val="edge"/>
          <c:x val="0.34312588784493103"/>
          <c:y val="5.3102180088073631E-3"/>
          <c:w val="0.32564528385000824"/>
          <c:h val="9.642924634420697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F692B-706D-484A-9688-39CD5A90C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23</Pages>
  <Words>17297</Words>
  <Characters>98598</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SQU</Company>
  <LinksUpToDate>false</LinksUpToDate>
  <CharactersWithSpaces>115664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Houcine Boughanmi</cp:lastModifiedBy>
  <cp:revision>3</cp:revision>
  <cp:lastPrinted>2018-08-01T18:36:00Z</cp:lastPrinted>
  <dcterms:created xsi:type="dcterms:W3CDTF">2019-04-14T11:36:00Z</dcterms:created>
  <dcterms:modified xsi:type="dcterms:W3CDTF">2019-04-14T11:44:00Z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ac493610-c2fe-3bed-84e9-07c9ac327bdb</vt:lpwstr>
  </property>
  <property fmtid="{D5CDD505-2E9C-101B-9397-08002B2CF9AE}" pid="24" name="Mendeley Citation Style_1">
    <vt:lpwstr>http://www.zotero.org/styles/apa</vt:lpwstr>
  </property>
</Properties>
</file>