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71B54" w14:textId="3C6832F7" w:rsidR="006135EF" w:rsidRDefault="00AB2855" w:rsidP="007434C9">
      <w:pPr>
        <w:pStyle w:val="Title"/>
        <w:rPr>
          <w:sz w:val="32"/>
        </w:rPr>
      </w:pPr>
      <w:r w:rsidRPr="007434C9">
        <w:rPr>
          <w:sz w:val="32"/>
        </w:rPr>
        <w:t xml:space="preserve">Effective Capacity Expansion of Renewable </w:t>
      </w:r>
      <w:r w:rsidR="00F12185" w:rsidRPr="007434C9">
        <w:rPr>
          <w:sz w:val="32"/>
        </w:rPr>
        <w:t>Energy for Decarbonization</w:t>
      </w:r>
    </w:p>
    <w:p w14:paraId="0477F9B6" w14:textId="77777777" w:rsidR="008D6287" w:rsidRPr="008D6287" w:rsidRDefault="008D6287" w:rsidP="008D6287"/>
    <w:p w14:paraId="377437E0" w14:textId="6535983D" w:rsidR="008D6287" w:rsidRDefault="008D6287" w:rsidP="008D6287">
      <w:pPr>
        <w:jc w:val="center"/>
      </w:pPr>
      <w:r>
        <w:t>Mei Yuan</w:t>
      </w:r>
      <w:r>
        <w:rPr>
          <w:rStyle w:val="FootnoteReference"/>
        </w:rPr>
        <w:footnoteReference w:id="2"/>
      </w:r>
      <w:r w:rsidR="007E33A8">
        <w:t xml:space="preserve">, </w:t>
      </w:r>
      <w:r>
        <w:t>Karen Tapia-Ahumada</w:t>
      </w:r>
      <w:r w:rsidRPr="008C5496">
        <w:rPr>
          <w:vertAlign w:val="superscript"/>
        </w:rPr>
        <w:t>2</w:t>
      </w:r>
      <w:r w:rsidR="007E33A8" w:rsidRPr="007E33A8">
        <w:t xml:space="preserve">, </w:t>
      </w:r>
      <w:r w:rsidR="007E33A8">
        <w:t>David Montgomery</w:t>
      </w:r>
    </w:p>
    <w:p w14:paraId="0090646C" w14:textId="77777777" w:rsidR="008D6287" w:rsidRDefault="008D6287" w:rsidP="008D6287">
      <w:pPr>
        <w:jc w:val="center"/>
        <w:rPr>
          <w:vertAlign w:val="superscript"/>
        </w:rPr>
      </w:pPr>
    </w:p>
    <w:p w14:paraId="3E6920C2" w14:textId="77777777" w:rsidR="008D6287" w:rsidRPr="008C5496" w:rsidRDefault="008D6287" w:rsidP="008D6287">
      <w:pPr>
        <w:jc w:val="center"/>
        <w:rPr>
          <w:i/>
        </w:rPr>
      </w:pPr>
      <w:r w:rsidRPr="008C5496">
        <w:rPr>
          <w:i/>
          <w:vertAlign w:val="superscript"/>
        </w:rPr>
        <w:t xml:space="preserve">1 </w:t>
      </w:r>
      <w:r w:rsidRPr="008C5496">
        <w:rPr>
          <w:i/>
        </w:rPr>
        <w:t>MIT Joint Program on the Science and Policy of Global Change</w:t>
      </w:r>
    </w:p>
    <w:p w14:paraId="621A7BAE" w14:textId="77777777" w:rsidR="008D6287" w:rsidRPr="008C5496" w:rsidRDefault="008D6287" w:rsidP="008D6287">
      <w:pPr>
        <w:jc w:val="center"/>
        <w:rPr>
          <w:i/>
        </w:rPr>
      </w:pPr>
      <w:r w:rsidRPr="008C5496">
        <w:rPr>
          <w:i/>
          <w:vertAlign w:val="superscript"/>
        </w:rPr>
        <w:t>2</w:t>
      </w:r>
      <w:r w:rsidRPr="008C5496">
        <w:rPr>
          <w:i/>
        </w:rPr>
        <w:t xml:space="preserve"> MIT Energy Initiative</w:t>
      </w:r>
    </w:p>
    <w:p w14:paraId="2D07B946" w14:textId="77777777" w:rsidR="008D6287" w:rsidRPr="008C5496" w:rsidRDefault="008D6287" w:rsidP="008D6287">
      <w:pPr>
        <w:rPr>
          <w:i/>
        </w:rPr>
      </w:pPr>
    </w:p>
    <w:p w14:paraId="65A87496" w14:textId="4D8D818F" w:rsidR="00E06833" w:rsidRDefault="008D6287" w:rsidP="008D6287">
      <w:pPr>
        <w:jc w:val="center"/>
      </w:pPr>
      <w:r>
        <w:t>June 19, 2019</w:t>
      </w:r>
    </w:p>
    <w:p w14:paraId="3F167965" w14:textId="35A5DD5A" w:rsidR="00DB5359" w:rsidRDefault="00DB5359" w:rsidP="007434C9"/>
    <w:p w14:paraId="264B980C" w14:textId="77777777" w:rsidR="00905B01" w:rsidRDefault="00905B01" w:rsidP="009B0CD7">
      <w:pPr>
        <w:pStyle w:val="Heading1"/>
        <w:numPr>
          <w:ilvl w:val="0"/>
          <w:numId w:val="0"/>
        </w:numPr>
        <w:ind w:left="360" w:hanging="360"/>
        <w:jc w:val="center"/>
      </w:pPr>
      <w:bookmarkStart w:id="0" w:name="_Ref11874639"/>
      <w:r>
        <w:t>Abstract</w:t>
      </w:r>
      <w:bookmarkEnd w:id="0"/>
    </w:p>
    <w:p w14:paraId="3D14D189" w14:textId="38C95251" w:rsidR="000F187D" w:rsidRDefault="007D190A" w:rsidP="007434C9">
      <w:r>
        <w:t>U.S. is moving towards more renewable generation. With the aim for a transition to a low-carbon energy system, many</w:t>
      </w:r>
      <w:r w:rsidR="00597CD8">
        <w:t xml:space="preserve"> states </w:t>
      </w:r>
      <w:r w:rsidR="00527DDA">
        <w:t xml:space="preserve">have </w:t>
      </w:r>
      <w:r w:rsidR="00597CD8">
        <w:t>propose</w:t>
      </w:r>
      <w:r w:rsidR="00527DDA">
        <w:t>d</w:t>
      </w:r>
      <w:r w:rsidR="00597CD8">
        <w:t xml:space="preserve"> to extend or increase their </w:t>
      </w:r>
      <w:r>
        <w:t>renewable portfolio standards (RPS)</w:t>
      </w:r>
      <w:r w:rsidR="00597CD8">
        <w:t xml:space="preserve"> targets</w:t>
      </w:r>
      <w:r>
        <w:t xml:space="preserve">. </w:t>
      </w:r>
      <w:r w:rsidR="00597CD8">
        <w:t xml:space="preserve">The policy ambition of integrating more renewable generation together with other greenhouse gas mitigation efforts brings challenges for the power system operation. </w:t>
      </w:r>
      <w:r w:rsidR="00ED7C33" w:rsidRPr="004859DD">
        <w:t xml:space="preserve">The path to de-carbonization through </w:t>
      </w:r>
      <w:r w:rsidR="00ED7C33">
        <w:t>fast expansion of</w:t>
      </w:r>
      <w:r w:rsidR="00ED7C33" w:rsidRPr="004859DD">
        <w:t xml:space="preserve"> renewable generation</w:t>
      </w:r>
      <w:r w:rsidR="00ED7C33">
        <w:t xml:space="preserve"> </w:t>
      </w:r>
      <w:r w:rsidR="00ED7C33" w:rsidRPr="00905B01">
        <w:t>will impact not only the electricity sector but other sectors such as transportation, energy-intensive industry, energy conversion and supply sectors</w:t>
      </w:r>
      <w:r w:rsidR="00ED7C33">
        <w:t xml:space="preserve">. </w:t>
      </w:r>
      <w:r w:rsidR="00ED7C33" w:rsidRPr="00905B01">
        <w:t xml:space="preserve">Increasing dependence on renewables </w:t>
      </w:r>
      <w:r w:rsidR="008E0249">
        <w:t>demands</w:t>
      </w:r>
      <w:r w:rsidR="00ED7C33">
        <w:t xml:space="preserve"> greater</w:t>
      </w:r>
      <w:r w:rsidR="000F187D">
        <w:t xml:space="preserve"> system</w:t>
      </w:r>
      <w:r w:rsidR="00ED7C33" w:rsidRPr="00905B01">
        <w:t xml:space="preserve"> flexibility such as the deployment of fast-response electric gener</w:t>
      </w:r>
      <w:r w:rsidR="000F187D">
        <w:t>ating units, additional reserve</w:t>
      </w:r>
      <w:r w:rsidR="00ED7C33" w:rsidRPr="00905B01">
        <w:t xml:space="preserve"> requirements, transmission interconnection</w:t>
      </w:r>
      <w:r w:rsidR="000F187D">
        <w:t>s</w:t>
      </w:r>
      <w:r w:rsidR="00ED7C33" w:rsidRPr="00905B01">
        <w:t xml:space="preserve"> across regions, and energy storage units</w:t>
      </w:r>
      <w:r w:rsidR="00ED7C33">
        <w:t>. Investment in renewable capacity as well as ancillary capacities as a backup t</w:t>
      </w:r>
      <w:r w:rsidR="00FA3E53">
        <w:t xml:space="preserve">o resolve intermittency competes with investment in other low-carbon energy sources or technologies. </w:t>
      </w:r>
    </w:p>
    <w:p w14:paraId="62B7520E" w14:textId="0F1EE54D" w:rsidR="000F187D" w:rsidRDefault="008E0249" w:rsidP="007434C9">
      <w:r>
        <w:t xml:space="preserve">To evaluate the RPS policy proposals, we use an integrated top-down bottom-up modeling framework that combines a regional chronological hourly-dispatch and capacity expansion electricity model with a multi-region multi-sector dynamic general equilibrium model of the U.S. economy. This </w:t>
      </w:r>
      <w:r w:rsidR="000F187D">
        <w:t xml:space="preserve">model explicitly addresses the intermittency of renewable electricity in order to answer questions about how tighter RPS requirements would affect the delivered cost of electricity and the marginal </w:t>
      </w:r>
      <w:r w:rsidR="00570886">
        <w:t xml:space="preserve">investment </w:t>
      </w:r>
      <w:r w:rsidR="00D63E07">
        <w:t xml:space="preserve">cost of </w:t>
      </w:r>
      <w:r w:rsidR="00ED3C10">
        <w:t xml:space="preserve">RPS in </w:t>
      </w:r>
      <w:r w:rsidR="00570886">
        <w:t>c</w:t>
      </w:r>
      <w:r w:rsidR="00D63E07">
        <w:t>arbon</w:t>
      </w:r>
      <w:r w:rsidR="00570886">
        <w:t xml:space="preserve"> </w:t>
      </w:r>
      <w:r w:rsidR="00570886" w:rsidRPr="002561BE">
        <w:t xml:space="preserve">reduction. </w:t>
      </w:r>
      <w:r w:rsidR="001F525F" w:rsidRPr="002561BE">
        <w:t xml:space="preserve">We set up </w:t>
      </w:r>
      <w:r w:rsidR="001F525F" w:rsidRPr="002561BE">
        <w:rPr>
          <w:color w:val="000000" w:themeColor="text1"/>
        </w:rPr>
        <w:t>scenarios that enable us to trace out a marginal investment cost curve for RPS by interpolating between the scenarios results.</w:t>
      </w:r>
      <w:r w:rsidR="001F525F" w:rsidRPr="002561BE">
        <w:t xml:space="preserve"> </w:t>
      </w:r>
      <w:r w:rsidR="00570886" w:rsidRPr="002561BE">
        <w:t xml:space="preserve">In addition, we ask </w:t>
      </w:r>
      <w:r w:rsidR="000F187D" w:rsidRPr="002561BE">
        <w:t>how</w:t>
      </w:r>
      <w:r w:rsidR="00570886" w:rsidRPr="002561BE">
        <w:t xml:space="preserve"> </w:t>
      </w:r>
      <w:r w:rsidR="000F187D" w:rsidRPr="002561BE">
        <w:t>tighter</w:t>
      </w:r>
      <w:r w:rsidR="00570886" w:rsidRPr="002561BE">
        <w:t xml:space="preserve"> RPS </w:t>
      </w:r>
      <w:r w:rsidR="000F187D" w:rsidRPr="002561BE">
        <w:t xml:space="preserve">requirements affect the </w:t>
      </w:r>
      <w:r w:rsidR="00570886" w:rsidRPr="002561BE">
        <w:t xml:space="preserve">share of investment </w:t>
      </w:r>
      <w:r w:rsidR="000F187D" w:rsidRPr="002561BE">
        <w:t>that must be devoted to</w:t>
      </w:r>
      <w:r w:rsidR="00570886" w:rsidRPr="002561BE">
        <w:t xml:space="preserve"> </w:t>
      </w:r>
      <w:r w:rsidR="00FA3E53" w:rsidRPr="002561BE">
        <w:t xml:space="preserve">capacity expansion </w:t>
      </w:r>
      <w:r w:rsidR="00E97B48" w:rsidRPr="002561BE">
        <w:t xml:space="preserve">due to increasing </w:t>
      </w:r>
      <w:r w:rsidR="00FA3E53" w:rsidRPr="002561BE">
        <w:t xml:space="preserve">renewable generation </w:t>
      </w:r>
      <w:r w:rsidR="000F187D" w:rsidRPr="002561BE">
        <w:t>relative to</w:t>
      </w:r>
      <w:r w:rsidR="00E97B48" w:rsidRPr="002561BE">
        <w:t xml:space="preserve"> the need to fund and deve</w:t>
      </w:r>
      <w:r w:rsidR="00836C22" w:rsidRPr="002561BE">
        <w:t xml:space="preserve">lop other low-carbon strategies, such as programs to induce low-carbon transportation fuels. </w:t>
      </w:r>
      <w:r w:rsidR="00AB4BAF">
        <w:t>By comparing</w:t>
      </w:r>
      <w:r w:rsidR="000F187D" w:rsidRPr="002561BE">
        <w:t xml:space="preserve"> the costs of tight</w:t>
      </w:r>
      <w:r w:rsidR="00AB4BAF">
        <w:t xml:space="preserve">er RPS standards across regions we </w:t>
      </w:r>
      <w:r w:rsidR="000F187D" w:rsidRPr="002561BE">
        <w:t>investigat</w:t>
      </w:r>
      <w:r w:rsidR="00B87441" w:rsidRPr="002561BE">
        <w:t>e</w:t>
      </w:r>
      <w:r w:rsidR="000F187D" w:rsidRPr="002561BE">
        <w:t xml:space="preserve"> how they affect the time profile of generation costs.</w:t>
      </w:r>
    </w:p>
    <w:p w14:paraId="7092675A" w14:textId="77777777" w:rsidR="00E06833" w:rsidRDefault="00E06833" w:rsidP="007434C9">
      <w:pPr>
        <w:rPr>
          <w:color w:val="000000" w:themeColor="text1"/>
          <w:spacing w:val="15"/>
        </w:rPr>
      </w:pPr>
      <w:r>
        <w:br w:type="page"/>
      </w:r>
    </w:p>
    <w:p w14:paraId="16F3925B" w14:textId="7C01A557" w:rsidR="00521C28" w:rsidRPr="006658DD" w:rsidRDefault="00521C28" w:rsidP="009B0CD7">
      <w:pPr>
        <w:pStyle w:val="Heading1"/>
      </w:pPr>
      <w:r w:rsidRPr="006658DD">
        <w:lastRenderedPageBreak/>
        <w:t>Introduction</w:t>
      </w:r>
    </w:p>
    <w:p w14:paraId="6630E9F2" w14:textId="4B127D5B" w:rsidR="00521C28" w:rsidRPr="00521C28" w:rsidRDefault="00521C28" w:rsidP="007434C9">
      <w:r w:rsidRPr="007434C9">
        <w:t>U.S. is moving towards more renewable generation. With the aim for a transition to a low-carbon energy system, many states have proposed to extend or increase their renewable portfolio standards (RPS) targets. The policy ambition of integrating more renewable generation together with other greenhouse gas mitigation efforts brings challenges for the power system operation. The path to de-carbonization through fast expansion of renewable generation will impact not only the electricity sector but other sectors such as transportation, energy-intensive industry, energy conversion and supply sectors. Increasing dependence on renewables demands greater system flexibility such as the deployment of fast-response electric</w:t>
      </w:r>
      <w:r w:rsidRPr="00521C28">
        <w:t xml:space="preserve"> generating units, additional reserve requirements, transmission interconnections across regions, and energy storage units. Investment in renewable capacity as well as ancillary capacities as a backup to resolve intermittency competes with investment in other low-carbon energy sources or technologies.</w:t>
      </w:r>
    </w:p>
    <w:p w14:paraId="2DD3C265" w14:textId="48F343BD" w:rsidR="00967616" w:rsidRPr="00DB5359" w:rsidRDefault="00552299" w:rsidP="007434C9">
      <w:pPr>
        <w:pStyle w:val="Heading1"/>
      </w:pPr>
      <w:r w:rsidRPr="00DB5359">
        <w:t>An Integrated Approach</w:t>
      </w:r>
    </w:p>
    <w:p w14:paraId="2FD57854" w14:textId="34429CE4" w:rsidR="006623BA" w:rsidRDefault="006623BA" w:rsidP="007434C9">
      <w:r>
        <w:t xml:space="preserve">Renewable energy is constrained by regional resources and characterized by intermittent supply. Hence, an approach to the issues ought to accurately represent renewable generation spatially and temporally. A capacity expansion and operational model with profiles on hourly demand and hourly supply of wind and solar by geographic region can provide a reasonable spatiotemporal representation of the electricity system. To address </w:t>
      </w:r>
      <w:r w:rsidR="00DC56F1">
        <w:t xml:space="preserve">power operation </w:t>
      </w:r>
      <w:r>
        <w:t xml:space="preserve">issues and policy effectiveness, we develop an integrated model that combines two paradigms used by policy and decision makers, namely top-down (TD) and bottom-up (BU) approaches that combines a regional chronological hourly-dispatch and capacity expansion electricity model with a multi-region multi-sector dynamic general equilibrium model of the U.S. economy. This approach incorporates interactions among different aspects of the economy and generates a set of internally consistent solutions, serving as an analytical tool to reliably guide future </w:t>
      </w:r>
      <w:r w:rsidRPr="00905B01">
        <w:t>operations, investments, and policies</w:t>
      </w:r>
      <w:r w:rsidR="00DC56F1">
        <w:t xml:space="preserve"> decisions</w:t>
      </w:r>
      <w:r>
        <w:t xml:space="preserve">. </w:t>
      </w:r>
    </w:p>
    <w:p w14:paraId="7A89B370" w14:textId="70E866CC" w:rsidR="00552299" w:rsidRPr="007434C9" w:rsidRDefault="00552299" w:rsidP="007434C9">
      <w:pPr>
        <w:pStyle w:val="Heading2"/>
      </w:pPr>
      <w:r w:rsidRPr="007434C9">
        <w:t>The Top-Down Model</w:t>
      </w:r>
    </w:p>
    <w:p w14:paraId="41A90E81" w14:textId="42ED8EB6" w:rsidR="00552299" w:rsidRDefault="00F136F0" w:rsidP="007434C9">
      <w:r>
        <w:t xml:space="preserve">The </w:t>
      </w:r>
      <w:r w:rsidR="004C3C80">
        <w:t>top-down</w:t>
      </w:r>
      <w:r>
        <w:t xml:space="preserve"> component</w:t>
      </w:r>
      <w:r w:rsidR="004C3C80">
        <w:t xml:space="preserve"> of the integrated model</w:t>
      </w:r>
      <w:r>
        <w:t xml:space="preserve"> </w:t>
      </w:r>
      <w:r w:rsidR="007B02F9">
        <w:t>is the MIT U.S. Regional Energy Policy (US</w:t>
      </w:r>
      <w:r>
        <w:t>REP</w:t>
      </w:r>
      <w:r w:rsidR="007B02F9">
        <w:t>)</w:t>
      </w:r>
      <w:r>
        <w:t xml:space="preserve"> model, a multi-region multi-</w:t>
      </w:r>
      <w:r w:rsidR="00FB00FC">
        <w:t xml:space="preserve">sector energy-economic </w:t>
      </w:r>
      <w:r>
        <w:t>general equilibrium mo</w:t>
      </w:r>
      <w:r w:rsidR="009605DE">
        <w:t>del of the U.S. economy (Rausch</w:t>
      </w:r>
      <w:r>
        <w:t xml:space="preserve"> et al.</w:t>
      </w:r>
      <w:r w:rsidR="009605DE">
        <w:t>,</w:t>
      </w:r>
      <w:r>
        <w:t xml:space="preserve"> 2010, 2011, 2014</w:t>
      </w:r>
      <w:r w:rsidR="007B02F9">
        <w:t>, Yuan</w:t>
      </w:r>
      <w:r w:rsidR="009605DE">
        <w:t xml:space="preserve"> et al.</w:t>
      </w:r>
      <w:r w:rsidR="007B02F9">
        <w:t>, 2017</w:t>
      </w:r>
      <w:r>
        <w:t>)</w:t>
      </w:r>
      <w:r w:rsidR="006D0B73">
        <w:t xml:space="preserve">. </w:t>
      </w:r>
      <w:r w:rsidR="00E50B06" w:rsidRPr="00B46049">
        <w:t xml:space="preserve">USREP is built on a state-level economic dataset of the U.S. economy, called IMPLAN (IMPLAN, 2008) covering all transactions among businesses, households, and government agents for the base year </w:t>
      </w:r>
      <w:r w:rsidR="00E50B06">
        <w:t xml:space="preserve">in </w:t>
      </w:r>
      <w:r w:rsidR="00E50B06" w:rsidRPr="00B46049">
        <w:t xml:space="preserve">2006. </w:t>
      </w:r>
      <w:r w:rsidR="00552299" w:rsidRPr="00B46049">
        <w:t xml:space="preserve">For the purpose of energy and environmental policy study, we improve the characterization of energy markets in the input-output dataset prepared by IMPLAN by replacing its energy accounts with physical energy quantities and energy prices from Energy Information Administration State Energy Data System (EIA-SEDS, 2009) for the same benchmark year 2006. The final dataset is rebalanced using constrained least-squares optimization techniques </w:t>
      </w:r>
      <w:r w:rsidR="00552299">
        <w:t>to produce</w:t>
      </w:r>
      <w:r w:rsidR="00552299" w:rsidRPr="00B46049">
        <w:t xml:space="preserve"> a consistent representation of the economy.</w:t>
      </w:r>
      <w:r w:rsidR="00552299">
        <w:t xml:space="preserve"> </w:t>
      </w:r>
    </w:p>
    <w:p w14:paraId="2744F1E9" w14:textId="5E7ECDC6" w:rsidR="00552299" w:rsidRDefault="00552299" w:rsidP="007434C9">
      <w:r w:rsidRPr="00B46049">
        <w:t xml:space="preserve">The standard version of USREP aggregates 509 commodities in the IMPLAN dataset to five energy sectors and six non-energy sectors. The energy sectors include coal (COL), natural gas (GAS), crude oil (CRU), refined oil (OIL) and electricity (ELE). The non-energy sectors include </w:t>
      </w:r>
      <w:r w:rsidRPr="00B46049">
        <w:lastRenderedPageBreak/>
        <w:t>energy-intensive industries (EIS), agriculture (AGR), commercial transportation (TRN), personal transportation (HHTRN), services (SRV) and all other goods (OTH).</w:t>
      </w:r>
      <w:r>
        <w:t xml:space="preserve"> </w:t>
      </w:r>
      <w:r w:rsidRPr="00C34719">
        <w:t xml:space="preserve">In each </w:t>
      </w:r>
      <w:r>
        <w:t>sector</w:t>
      </w:r>
      <w:r w:rsidRPr="00C34719">
        <w:t>, output is produced using inputs of labor, capital, energy and intermediate material goods</w:t>
      </w:r>
      <w:r>
        <w:t xml:space="preserve">. </w:t>
      </w:r>
      <w:r w:rsidRPr="00C34719">
        <w:t>Primary energy production sectors (crude oil, shale oil, coal, natural gas) use depletable natural resources (crude oil, coal, and natural gas)</w:t>
      </w:r>
      <w:r>
        <w:t xml:space="preserve">. </w:t>
      </w:r>
      <w:r w:rsidRPr="00C34719">
        <w:t xml:space="preserve">The model also includes primary energy production sectors that use renewable, non-depletable resources (wind and biomass). Agriculture and biomass production use land. </w:t>
      </w:r>
      <w:r>
        <w:t xml:space="preserve">Production is modeled assuming </w:t>
      </w:r>
      <w:r w:rsidRPr="00C34719">
        <w:t>constant-elasticity-of-substitution (CES) functions</w:t>
      </w:r>
      <w:r>
        <w:t xml:space="preserve"> that is </w:t>
      </w:r>
      <w:r w:rsidRPr="00C34719">
        <w:t xml:space="preserve">constant returns to scale. Firms operate in perfectly competitive markets and </w:t>
      </w:r>
      <w:r>
        <w:t xml:space="preserve">sell </w:t>
      </w:r>
      <w:r w:rsidRPr="00C34719">
        <w:t>their products at a price equal to marginal costs</w:t>
      </w:r>
      <w:r>
        <w:t xml:space="preserve">. </w:t>
      </w:r>
      <w:r w:rsidRPr="00C34719">
        <w:t>In each region, a single government entity approximates government activities at all levels - federal, state, and local</w:t>
      </w:r>
      <w:r>
        <w:t xml:space="preserve">. </w:t>
      </w:r>
      <w:r w:rsidRPr="00C34719">
        <w:t xml:space="preserve">Government consumption is paid for with income from tax revenue net of </w:t>
      </w:r>
      <w:r>
        <w:t xml:space="preserve">any </w:t>
      </w:r>
      <w:r w:rsidRPr="00C34719">
        <w:t>transfers to households</w:t>
      </w:r>
      <w:r>
        <w:t>.</w:t>
      </w:r>
    </w:p>
    <w:p w14:paraId="3B383D71" w14:textId="77777777" w:rsidR="00C05FAA" w:rsidRDefault="00C05FAA" w:rsidP="007434C9">
      <w:pPr>
        <w:pStyle w:val="Figure"/>
        <w:rPr>
          <w:color w:val="auto"/>
        </w:rPr>
      </w:pPr>
      <w:r w:rsidRPr="00B46049">
        <w:rPr>
          <w:noProof/>
          <w:lang w:eastAsia="zh-CN"/>
        </w:rPr>
        <w:drawing>
          <wp:inline distT="0" distB="0" distL="0" distR="0" wp14:anchorId="69A1F553" wp14:editId="054D53FD">
            <wp:extent cx="4800600" cy="2862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0" cy="2862072"/>
                    </a:xfrm>
                    <a:prstGeom prst="rect">
                      <a:avLst/>
                    </a:prstGeom>
                    <a:noFill/>
                  </pic:spPr>
                </pic:pic>
              </a:graphicData>
            </a:graphic>
          </wp:inline>
        </w:drawing>
      </w:r>
    </w:p>
    <w:p w14:paraId="7799FD93" w14:textId="11982E9A" w:rsidR="00C05FAA" w:rsidRDefault="00C05FAA" w:rsidP="00BF7927">
      <w:pPr>
        <w:pStyle w:val="CaptionFig"/>
      </w:pPr>
      <w:bookmarkStart w:id="1" w:name="_Ref8726044"/>
      <w:r>
        <w:t xml:space="preserve">Figure </w:t>
      </w:r>
      <w:fldSimple w:instr=" SEQ Figure \* ARABIC ">
        <w:r w:rsidR="003A1D5B">
          <w:rPr>
            <w:noProof/>
          </w:rPr>
          <w:t>1</w:t>
        </w:r>
      </w:fldSimple>
      <w:bookmarkEnd w:id="1"/>
      <w:r>
        <w:t>: USREP Regions</w:t>
      </w:r>
    </w:p>
    <w:p w14:paraId="7F4B803E" w14:textId="7A1456CC" w:rsidR="00ED441F" w:rsidRDefault="00ED441F" w:rsidP="007434C9">
      <w:r>
        <w:t>USREP</w:t>
      </w:r>
      <w:r w:rsidRPr="00DE68B0">
        <w:t xml:space="preserve"> </w:t>
      </w:r>
      <w:r w:rsidR="00AF11DC">
        <w:t>represents the U.S. by</w:t>
      </w:r>
      <w:r w:rsidRPr="00DE68B0">
        <w:t xml:space="preserve"> twelve </w:t>
      </w:r>
      <w:r>
        <w:t xml:space="preserve">geographic regions, namely Alaska, California, Florida, New York, New England, South East, North East, South Central, North Central, Mountain, Pacific and Texas (see </w:t>
      </w:r>
      <w:r>
        <w:fldChar w:fldCharType="begin"/>
      </w:r>
      <w:r>
        <w:instrText xml:space="preserve"> REF _Ref8726044 \h </w:instrText>
      </w:r>
      <w:r>
        <w:fldChar w:fldCharType="separate"/>
      </w:r>
      <w:r w:rsidR="008D6287">
        <w:t xml:space="preserve">Figure </w:t>
      </w:r>
      <w:r w:rsidR="008D6287">
        <w:rPr>
          <w:noProof/>
        </w:rPr>
        <w:t>1</w:t>
      </w:r>
      <w:r>
        <w:fldChar w:fldCharType="end"/>
      </w:r>
      <w:r w:rsidRPr="00DE68B0">
        <w:t xml:space="preserve">) to account for variations in energy consumption and </w:t>
      </w:r>
      <w:r>
        <w:t xml:space="preserve">production across the country. </w:t>
      </w:r>
      <w:r w:rsidRPr="00DE68B0">
        <w:t>The regions correspond roughly to electricity power pool regions in which electricity produced in that region can serve any househo</w:t>
      </w:r>
      <w:r>
        <w:t xml:space="preserve">ld or industry in that region. </w:t>
      </w:r>
      <w:r w:rsidRPr="00DE68B0">
        <w:t>In each region, we model nine households that</w:t>
      </w:r>
      <w:r>
        <w:t xml:space="preserve"> differ in the income level as well as the composition of income sources from wages income and rents from the</w:t>
      </w:r>
      <w:r w:rsidRPr="00DE68B0">
        <w:t xml:space="preserve"> ownership of </w:t>
      </w:r>
      <w:r>
        <w:t xml:space="preserve">capital and natural resources. </w:t>
      </w:r>
      <w:r w:rsidRPr="00DE68B0">
        <w:t xml:space="preserve">Households of different income levels consume different bundles of goods. </w:t>
      </w:r>
    </w:p>
    <w:p w14:paraId="0DF80457" w14:textId="539A3951" w:rsidR="004F00F2" w:rsidRDefault="004F00F2" w:rsidP="004F00F2">
      <w:r>
        <w:t xml:space="preserve">The investment sector in USREP is specified based on the IMPLAN dataset to account for investment demand by private and public entities. The investment sector produces an aggregate investment good equal to the level of savings determined by the representative agent’s utility function. The accumulation of capital is calculated as investment net of depreciation according to the standard perpetual inventory </w:t>
      </w:r>
      <w:r w:rsidRPr="00B44276">
        <w:t xml:space="preserve">assumption. USREP is a recursive-dynamic model, and hence </w:t>
      </w:r>
      <w:r w:rsidRPr="00B44276">
        <w:lastRenderedPageBreak/>
        <w:t>savings and investment decisions are based on current period variables.</w:t>
      </w:r>
      <w:r>
        <w:t xml:space="preserve"> Capital is assumed fungible across regions and labor is assumed immobile across reg</w:t>
      </w:r>
      <w:r w:rsidR="00190616">
        <w:t>i</w:t>
      </w:r>
      <w:r>
        <w:t>ons.</w:t>
      </w:r>
    </w:p>
    <w:p w14:paraId="7841E87E" w14:textId="0E027713" w:rsidR="00651985" w:rsidRDefault="00ED441F" w:rsidP="007434C9">
      <w:r>
        <w:t xml:space="preserve">To represent historical changes in energy and economic structure, the model is calibrated up to 2015 based on information from Energy Information Administration (EIA)’s Annual Energy Outlooks (AEO). </w:t>
      </w:r>
      <w:r w:rsidR="004F6895">
        <w:t>To establish a reference case consistent with official projections, we calibrate the model to match GDP growth through 2050 in EIA’s AEO2018</w:t>
      </w:r>
      <w:r w:rsidR="004F6895" w:rsidRPr="00C34719">
        <w:t xml:space="preserve"> </w:t>
      </w:r>
      <w:r w:rsidR="004F6895">
        <w:t>Reference case (EIA,</w:t>
      </w:r>
      <w:r w:rsidR="004F6895" w:rsidRPr="00C34719">
        <w:t xml:space="preserve"> 201</w:t>
      </w:r>
      <w:r w:rsidR="004F6895">
        <w:t>8) by updating regional labor productivity growth rates. Policies affecting the U.S. energy system and end-use energy efficiency, such as the regional RPS for electric power generation and a national CAFE standards (and a separate CAFE standards for California) for vehicle transportation are represented in our reference case to reflect regulations currently on the books.</w:t>
      </w:r>
      <w:r w:rsidR="00651985">
        <w:t xml:space="preserve"> </w:t>
      </w:r>
    </w:p>
    <w:p w14:paraId="23CD4BB5" w14:textId="51EC30B7" w:rsidR="00273DDB" w:rsidRDefault="00273DDB" w:rsidP="007434C9">
      <w:pPr>
        <w:pStyle w:val="Heading2"/>
      </w:pPr>
      <w:r>
        <w:t>The Bottom-Up Model</w:t>
      </w:r>
    </w:p>
    <w:p w14:paraId="64D05A4A" w14:textId="520E8BF7" w:rsidR="00780876" w:rsidRDefault="00780876" w:rsidP="00780876">
      <w:r w:rsidRPr="007434C9">
        <w:t xml:space="preserve">The bottom-up component of the integrated model is a capacity expansion and economic dispatch model intended to capture the long-term adaptation of a system to the penetration of intermittent renewable generation </w:t>
      </w:r>
      <w:r>
        <w:t>in the U.S. (</w:t>
      </w:r>
      <w:r w:rsidRPr="00F136F0">
        <w:t>Tapia-Ahumad</w:t>
      </w:r>
      <w:r>
        <w:t>a et al.</w:t>
      </w:r>
      <w:r w:rsidRPr="00F136F0">
        <w:t>, 201</w:t>
      </w:r>
      <w:r>
        <w:t>4, 2015</w:t>
      </w:r>
      <w:r w:rsidRPr="00F136F0">
        <w:t>)</w:t>
      </w:r>
      <w:r>
        <w:t>. There are a wide range of electricity sector models with different levels of detail, covering timeframes that range from milliseconds to years or decades. Capacity planning considers investment in power plants with lifetimes of 20 to 30 years or more, and therefore focuses on years to decades (</w:t>
      </w:r>
      <w:r>
        <w:fldChar w:fldCharType="begin"/>
      </w:r>
      <w:r>
        <w:instrText xml:space="preserve"> REF _Ref9522943 \h </w:instrText>
      </w:r>
      <w:r>
        <w:fldChar w:fldCharType="separate"/>
      </w:r>
      <w:r w:rsidR="008D6287" w:rsidRPr="00AE4704">
        <w:t xml:space="preserve">Figure </w:t>
      </w:r>
      <w:r w:rsidR="008D6287">
        <w:rPr>
          <w:noProof/>
        </w:rPr>
        <w:t>2</w:t>
      </w:r>
      <w:r>
        <w:fldChar w:fldCharType="end"/>
      </w:r>
      <w:r>
        <w:t xml:space="preserve">). On the other end are concerns about stability of the grid, and network flows at minutes, seconds, and milliseconds. </w:t>
      </w:r>
    </w:p>
    <w:p w14:paraId="2824AF76" w14:textId="77777777" w:rsidR="00780876" w:rsidRPr="00910DCF" w:rsidRDefault="00780876" w:rsidP="00780876">
      <w:pPr>
        <w:keepNext/>
        <w:jc w:val="center"/>
        <w:rPr>
          <w:rFonts w:asciiTheme="majorHAnsi" w:hAnsiTheme="majorHAnsi" w:cstheme="majorHAnsi"/>
        </w:rPr>
      </w:pPr>
      <w:r>
        <w:t xml:space="preserve"> </w:t>
      </w:r>
      <w:r w:rsidRPr="00AE4704">
        <w:rPr>
          <w:rFonts w:asciiTheme="majorHAnsi" w:hAnsiTheme="majorHAnsi" w:cstheme="majorHAnsi"/>
          <w:noProof/>
          <w:lang w:eastAsia="zh-CN"/>
        </w:rPr>
        <w:drawing>
          <wp:inline distT="0" distB="0" distL="0" distR="0" wp14:anchorId="541DBCDE" wp14:editId="51E780E5">
            <wp:extent cx="4672584" cy="3044952"/>
            <wp:effectExtent l="0" t="0" r="0" b="3175"/>
            <wp:docPr id="71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2584" cy="3044952"/>
                    </a:xfrm>
                    <a:prstGeom prst="rect">
                      <a:avLst/>
                    </a:prstGeom>
                    <a:noFill/>
                    <a:extLst>
                      <a:ext uri="{909E8E84-426E-40dd-AFC4-6F175D3DCCD1}">
                        <a14:hiddenFill xmlns:mo="http://schemas.microsoft.com/office/mac/office/2008/main" xmlns:mv="urn:schemas-microsoft-com:mac:vm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pic:spPr>
                </pic:pic>
              </a:graphicData>
            </a:graphic>
          </wp:inline>
        </w:drawing>
      </w:r>
    </w:p>
    <w:p w14:paraId="226C0EE5" w14:textId="52CDB25C" w:rsidR="00780876" w:rsidRDefault="00780876" w:rsidP="00BF7927">
      <w:pPr>
        <w:pStyle w:val="CaptionFig"/>
      </w:pPr>
      <w:bookmarkStart w:id="2" w:name="_Ref9522943"/>
      <w:r w:rsidRPr="00AE4704">
        <w:t xml:space="preserve">Figure </w:t>
      </w:r>
      <w:fldSimple w:instr=" SEQ Figure \* ARABIC ">
        <w:r w:rsidR="003A1D5B">
          <w:rPr>
            <w:noProof/>
          </w:rPr>
          <w:t>2</w:t>
        </w:r>
      </w:fldSimple>
      <w:bookmarkEnd w:id="2"/>
      <w:r w:rsidRPr="00AE4704">
        <w:t>. Hierarchical decision-making process in power systems (Palmintier, 2013).</w:t>
      </w:r>
    </w:p>
    <w:p w14:paraId="2684368B" w14:textId="77777777" w:rsidR="00780876" w:rsidRDefault="00780876" w:rsidP="00780876">
      <w:r>
        <w:t xml:space="preserve">To understand future low carbon pathways within electric systems, it is necessary to look at periods of years to decades, with a major focus on what types of electricity generation will be needed to meet low carbon constraints. Intermittent renewables make these analyses more difficult as the </w:t>
      </w:r>
      <w:r>
        <w:lastRenderedPageBreak/>
        <w:t>decision to invest in wind, solar, nuclear or gas depends on the differential costs of dealing with the great variability of net demand brought about by the intermittency and variability of renewables.</w:t>
      </w:r>
    </w:p>
    <w:p w14:paraId="392D33AF" w14:textId="77777777" w:rsidR="00780876" w:rsidRDefault="00780876" w:rsidP="00780876">
      <w:r w:rsidRPr="007434C9">
        <w:t>The electric power system model (EleMod) is formulated at the same regional level as in</w:t>
      </w:r>
      <w:r>
        <w:t xml:space="preserve"> USREP. Following the approach proposed </w:t>
      </w:r>
      <w:r w:rsidRPr="005E78F4">
        <w:t xml:space="preserve">by Perez-Arriaga and Meseguer (1997), </w:t>
      </w:r>
      <w:r>
        <w:t>EleMod determines the most cost-effective electric generation expansion and operation subject to technical and policy constraints, such as environmental limitations, short-term operating reserves and long-term adequacy requirements in order to maintain acceptable reliability levels. The model incorporates hourly regional load demands, hourly regional wind and solar profiles estimates, resource estimates for wind and solar taking into consideration geospatial limitations, and several technology categories such utility-scale storage, fossil-fuel based technologies including gas-fired and coal-fired plants, and nuclear plants. In the model, e</w:t>
      </w:r>
      <w:r w:rsidRPr="00BD20E4">
        <w:t xml:space="preserve">xisting regional </w:t>
      </w:r>
      <w:r w:rsidRPr="00910DCF">
        <w:t>transmission</w:t>
      </w:r>
      <w:r w:rsidRPr="00BD20E4">
        <w:t xml:space="preserve"> interties are approximated</w:t>
      </w:r>
      <w:r>
        <w:t xml:space="preserve"> and e</w:t>
      </w:r>
      <w:r w:rsidRPr="00B40E12">
        <w:t>lectricity trade among regions</w:t>
      </w:r>
      <w:r>
        <w:t xml:space="preserve"> is possible</w:t>
      </w:r>
      <w:r w:rsidRPr="00B40E12">
        <w:t>, except among the Texas, Western, and Eastern interconnects.</w:t>
      </w:r>
      <w:r>
        <w:t xml:space="preserve"> </w:t>
      </w:r>
    </w:p>
    <w:p w14:paraId="16249B77" w14:textId="5E93F5BD" w:rsidR="00780876" w:rsidRDefault="00780876" w:rsidP="00780876">
      <w:r>
        <w:t>The model</w:t>
      </w:r>
      <w:r w:rsidRPr="00BD20E4">
        <w:t xml:space="preserve"> is </w:t>
      </w:r>
      <w:r>
        <w:t>formulated</w:t>
      </w:r>
      <w:r w:rsidRPr="00BD20E4">
        <w:t xml:space="preserve"> as </w:t>
      </w:r>
      <w:r>
        <w:t xml:space="preserve">either a </w:t>
      </w:r>
      <w:r w:rsidRPr="005C6893">
        <w:t>Mixed Int</w:t>
      </w:r>
      <w:r>
        <w:t xml:space="preserve">eger Quadratic Program (MIQP) or a </w:t>
      </w:r>
      <w:r w:rsidRPr="005C6893">
        <w:t>Mixe</w:t>
      </w:r>
      <w:r>
        <w:t xml:space="preserve">d Integer Linear Program (MILP) problem. In the first case, the formulation maximizes </w:t>
      </w:r>
      <w:r w:rsidRPr="00BD20E4">
        <w:t>the total</w:t>
      </w:r>
      <w:r>
        <w:t xml:space="preserve"> social</w:t>
      </w:r>
      <w:r w:rsidRPr="00BD20E4">
        <w:t xml:space="preserve"> </w:t>
      </w:r>
      <w:r>
        <w:t xml:space="preserve">welfare, i.e. the </w:t>
      </w:r>
      <w:r w:rsidRPr="008763C9">
        <w:t>difference of consumers</w:t>
      </w:r>
      <w:r>
        <w:t>’</w:t>
      </w:r>
      <w:r w:rsidRPr="008763C9">
        <w:t xml:space="preserve"> benefit </w:t>
      </w:r>
      <w:r>
        <w:t xml:space="preserve">and </w:t>
      </w:r>
      <w:r w:rsidRPr="008763C9">
        <w:t>overall cost</w:t>
      </w:r>
      <w:r>
        <w:t>s</w:t>
      </w:r>
      <w:r w:rsidRPr="008763C9">
        <w:t xml:space="preserve"> </w:t>
      </w:r>
      <w:r>
        <w:t>of producing electricity by power</w:t>
      </w:r>
      <w:r w:rsidRPr="008763C9">
        <w:t xml:space="preserve"> suppliers</w:t>
      </w:r>
      <w:r>
        <w:t>, subject</w:t>
      </w:r>
      <w:r w:rsidRPr="008E7892">
        <w:t xml:space="preserve"> to </w:t>
      </w:r>
      <w:r>
        <w:t xml:space="preserve">system operational, </w:t>
      </w:r>
      <w:r w:rsidRPr="008E7892">
        <w:t xml:space="preserve">security </w:t>
      </w:r>
      <w:r>
        <w:t xml:space="preserve">and policy </w:t>
      </w:r>
      <w:r w:rsidRPr="008E7892">
        <w:t>constraints</w:t>
      </w:r>
      <w:r>
        <w:t xml:space="preserve"> (Equation 1). This formulation is critical for the evaluation of demand response in the long-term and hence for the integration of USREP and EleMod.</w:t>
      </w: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540"/>
      </w:tblGrid>
      <w:tr w:rsidR="00C07B41" w14:paraId="45122821" w14:textId="77777777" w:rsidTr="00C07B41">
        <w:tc>
          <w:tcPr>
            <w:tcW w:w="8725" w:type="dxa"/>
            <w:vAlign w:val="center"/>
          </w:tcPr>
          <w:p w14:paraId="21BAB4ED" w14:textId="3FDECE45" w:rsidR="00C07B41" w:rsidRDefault="00C07B41" w:rsidP="00C07B41">
            <w:pPr>
              <w:pStyle w:val="DoubleIndent"/>
              <w:ind w:firstLine="0"/>
            </w:pPr>
            <m:oMathPara>
              <m:oMath>
                <m:r>
                  <w:rPr>
                    <w:rFonts w:ascii="Cambria Math" w:hAnsi="Cambria Math"/>
                  </w:rPr>
                  <m:t>Max Welfare=</m:t>
                </m:r>
                <m:nary>
                  <m:naryPr>
                    <m:chr m:val="∑"/>
                    <m:limLoc m:val="undOvr"/>
                    <m:supHide m:val="1"/>
                    <m:ctrlPr>
                      <w:rPr>
                        <w:rFonts w:ascii="Cambria Math" w:hAnsi="Cambria Math"/>
                        <w:i/>
                      </w:rPr>
                    </m:ctrlPr>
                  </m:naryPr>
                  <m:sub>
                    <m:r>
                      <w:rPr>
                        <w:rFonts w:ascii="Cambria Math" w:hAnsi="Cambria Math"/>
                      </w:rPr>
                      <m:t>r</m:t>
                    </m:r>
                  </m:sub>
                  <m:sup/>
                  <m:e>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0</m:t>
                            </m:r>
                          </m:sup>
                        </m:sSubSup>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-2∙</m:t>
                                    </m:r>
                                    <m:sSubSup>
                                      <m:sSubSupPr>
                                        <m:ctrlPr>
                                          <w:rPr>
                                            <w:rFonts w:ascii="Cambria Math" w:hAnsi="Cambria Math"/>
                                            <w:i/>
                                          </w:rPr>
                                        </m:ctrlPr>
                                      </m:sSubSupPr>
                                      <m:e>
                                        <m:r>
                                          <w:rPr>
                                            <w:rFonts w:ascii="Cambria Math" w:hAnsi="Cambria Math"/>
                                          </w:rPr>
                                          <m:t>d</m:t>
                                        </m:r>
                                      </m:e>
                                      <m:sub>
                                        <m:r>
                                          <w:rPr>
                                            <w:rFonts w:ascii="Cambria Math" w:hAnsi="Cambria Math"/>
                                          </w:rPr>
                                          <m:t>r</m:t>
                                        </m:r>
                                      </m:sub>
                                      <m:sup>
                                        <m:r>
                                          <w:rPr>
                                            <w:rFonts w:ascii="Cambria Math" w:hAnsi="Cambria Math"/>
                                          </w:rPr>
                                          <m:t>0</m:t>
                                        </m:r>
                                      </m:sup>
                                    </m:sSubSup>
                                  </m:e>
                                </m:d>
                              </m:num>
                              <m:den>
                                <m:r>
                                  <w:rPr>
                                    <w:rFonts w:ascii="Cambria Math" w:hAnsi="Cambria Math"/>
                                  </w:rPr>
                                  <m:t>2∙</m:t>
                                </m:r>
                                <m:sSubSup>
                                  <m:sSubSupPr>
                                    <m:ctrlPr>
                                      <w:rPr>
                                        <w:rFonts w:ascii="Cambria Math" w:hAnsi="Cambria Math"/>
                                        <w:i/>
                                      </w:rPr>
                                    </m:ctrlPr>
                                  </m:sSubSupPr>
                                  <m:e>
                                    <m:r>
                                      <w:rPr>
                                        <w:rFonts w:ascii="Cambria Math" w:hAnsi="Cambria Math"/>
                                      </w:rPr>
                                      <m:t>d</m:t>
                                    </m:r>
                                  </m:e>
                                  <m:sub>
                                    <m:r>
                                      <w:rPr>
                                        <w:rFonts w:ascii="Cambria Math" w:hAnsi="Cambria Math"/>
                                      </w:rPr>
                                      <m:t>r</m:t>
                                    </m:r>
                                  </m:sub>
                                  <m:sup>
                                    <m:r>
                                      <w:rPr>
                                        <w:rFonts w:ascii="Cambria Math" w:hAnsi="Cambria Math"/>
                                      </w:rPr>
                                      <m:t>0</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r</m:t>
                                    </m:r>
                                  </m:sub>
                                  <m:sup>
                                    <m:r>
                                      <w:rPr>
                                        <w:rFonts w:ascii="Cambria Math" w:hAnsi="Cambria Math"/>
                                      </w:rPr>
                                      <m:t>0</m:t>
                                    </m:r>
                                  </m:sup>
                                </m:sSubSup>
                              </m:den>
                            </m:f>
                          </m:e>
                        </m:d>
                        <m:r>
                          <w:rPr>
                            <w:rFonts w:ascii="Cambria Math" w:hAnsi="Cambria Math"/>
                          </w:rPr>
                          <m:t>-</m:t>
                        </m:r>
                        <m:sSub>
                          <m:sSubPr>
                            <m:ctrlPr>
                              <w:rPr>
                                <w:rFonts w:ascii="Cambria Math" w:hAnsi="Cambria Math"/>
                                <w:i/>
                              </w:rPr>
                            </m:ctrlPr>
                          </m:sSubPr>
                          <m:e>
                            <m:r>
                              <w:rPr>
                                <w:rFonts w:ascii="Cambria Math" w:hAnsi="Cambria Math"/>
                              </w:rPr>
                              <m:t>Cost</m:t>
                            </m:r>
                          </m:e>
                          <m:sub>
                            <m:r>
                              <w:rPr>
                                <w:rFonts w:ascii="Cambria Math" w:hAnsi="Cambria Math"/>
                              </w:rPr>
                              <m:t>r</m:t>
                            </m:r>
                          </m:sub>
                        </m:sSub>
                      </m:e>
                    </m:d>
                  </m:e>
                </m:nary>
              </m:oMath>
            </m:oMathPara>
          </w:p>
        </w:tc>
        <w:tc>
          <w:tcPr>
            <w:tcW w:w="540" w:type="dxa"/>
            <w:tcBorders>
              <w:left w:val="nil"/>
            </w:tcBorders>
            <w:vAlign w:val="center"/>
          </w:tcPr>
          <w:p w14:paraId="12BBAE15" w14:textId="3C1CDD6D" w:rsidR="00C07B41" w:rsidRDefault="00C07B41" w:rsidP="00E173EE">
            <w:pPr>
              <w:pStyle w:val="DoubleIndent"/>
              <w:ind w:firstLine="13"/>
            </w:pPr>
            <w:r>
              <w:t>(1)</w:t>
            </w:r>
          </w:p>
        </w:tc>
      </w:tr>
    </w:tbl>
    <w:p w14:paraId="0D81D693" w14:textId="710EABAA" w:rsidR="00780876" w:rsidRDefault="00780876" w:rsidP="00780876">
      <w:r>
        <w:t>Alternatively, EleM</w:t>
      </w:r>
      <w:r w:rsidR="00DA761C">
        <w:t>od when formulated as</w:t>
      </w:r>
      <w:r>
        <w:t xml:space="preserve"> a MILP,</w:t>
      </w:r>
      <w:r w:rsidR="00DA761C">
        <w:t xml:space="preserve"> </w:t>
      </w:r>
      <w:r w:rsidRPr="00BD20E4">
        <w:t>minimize</w:t>
      </w:r>
      <w:r>
        <w:t>s</w:t>
      </w:r>
      <w:r w:rsidRPr="00BD20E4">
        <w:t xml:space="preserve"> the total cost of producing electricity</w:t>
      </w:r>
      <w:r>
        <w:t xml:space="preserve"> considering capital invests costs, fixed and variable O&amp;M, and other operational costs such as fuel-related costs, start-up costs and non-serve energy cost (Equation 2).</w:t>
      </w:r>
    </w:p>
    <w:tbl>
      <w:tblPr>
        <w:tblStyle w:val="TableGrid"/>
        <w:tblW w:w="92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545"/>
      </w:tblGrid>
      <w:tr w:rsidR="00C07B41" w14:paraId="102CCA81" w14:textId="77777777" w:rsidTr="00C07B41">
        <w:tc>
          <w:tcPr>
            <w:tcW w:w="8725" w:type="dxa"/>
            <w:vAlign w:val="center"/>
          </w:tcPr>
          <w:p w14:paraId="486E3E1F" w14:textId="6DA12C16" w:rsidR="00C07B41" w:rsidRDefault="00C07B41" w:rsidP="00E173EE">
            <w:pPr>
              <w:pStyle w:val="DoubleIndent"/>
              <w:ind w:firstLine="0"/>
            </w:pPr>
            <m:oMathPara>
              <m:oMath>
                <m:r>
                  <w:rPr>
                    <w:rFonts w:ascii="Cambria Math" w:hAnsi="Cambria Math"/>
                    <w:sz w:val="22"/>
                    <w:szCs w:val="22"/>
                  </w:rPr>
                  <m:t>Min Cost=</m:t>
                </m:r>
                <m:nary>
                  <m:naryPr>
                    <m:chr m:val="∑"/>
                    <m:limLoc m:val="undOvr"/>
                    <m:supHide m:val="1"/>
                    <m:ctrlPr>
                      <w:rPr>
                        <w:rFonts w:ascii="Cambria Math" w:hAnsi="Cambria Math"/>
                        <w:i/>
                        <w:sz w:val="22"/>
                        <w:szCs w:val="22"/>
                      </w:rPr>
                    </m:ctrlPr>
                  </m:naryPr>
                  <m:sub>
                    <m:r>
                      <w:rPr>
                        <w:rFonts w:ascii="Cambria Math" w:hAnsi="Cambria Math"/>
                        <w:sz w:val="22"/>
                        <w:szCs w:val="22"/>
                      </w:rPr>
                      <m:t>r</m:t>
                    </m:r>
                  </m:sub>
                  <m:sup/>
                  <m:e>
                    <m:d>
                      <m:dPr>
                        <m:begChr m:val="["/>
                        <m:endChr m:val="]"/>
                        <m:ctrlPr>
                          <w:rPr>
                            <w:rFonts w:ascii="Cambria Math" w:hAnsi="Cambria Math"/>
                            <w:i/>
                            <w:sz w:val="22"/>
                            <w:szCs w:val="22"/>
                          </w:rPr>
                        </m:ctrlPr>
                      </m:dPr>
                      <m:e>
                        <m:d>
                          <m:dPr>
                            <m:ctrlPr>
                              <w:rPr>
                                <w:rFonts w:ascii="Cambria Math" w:hAnsi="Cambria Math"/>
                                <w:i/>
                                <w:sz w:val="22"/>
                                <w:szCs w:val="22"/>
                              </w:rPr>
                            </m:ctrlPr>
                          </m:dPr>
                          <m:e>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r</m:t>
                                </m:r>
                              </m:sub>
                              <m:sup>
                                <m:r>
                                  <w:rPr>
                                    <w:rFonts w:ascii="Cambria Math" w:hAnsi="Cambria Math"/>
                                    <w:sz w:val="22"/>
                                    <w:szCs w:val="22"/>
                                  </w:rPr>
                                  <m:t>fixCap</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r</m:t>
                                </m:r>
                              </m:sub>
                              <m:sup>
                                <m:r>
                                  <w:rPr>
                                    <w:rFonts w:ascii="Cambria Math" w:hAnsi="Cambria Math"/>
                                    <w:sz w:val="22"/>
                                    <w:szCs w:val="22"/>
                                  </w:rPr>
                                  <m:t>fixOM</m:t>
                                </m:r>
                              </m:sup>
                            </m:sSubSup>
                          </m:e>
                        </m:d>
                        <m:r>
                          <w:rPr>
                            <w:rFonts w:ascii="Cambria Math" w:hAnsi="Cambria Math"/>
                            <w:sz w:val="22"/>
                            <w:szCs w:val="22"/>
                          </w:rPr>
                          <m:t>+</m:t>
                        </m:r>
                        <m:d>
                          <m:dPr>
                            <m:ctrlPr>
                              <w:rPr>
                                <w:rFonts w:ascii="Cambria Math" w:hAnsi="Cambria Math"/>
                                <w:i/>
                                <w:sz w:val="22"/>
                                <w:szCs w:val="22"/>
                              </w:rPr>
                            </m:ctrlPr>
                          </m:dPr>
                          <m:e>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r</m:t>
                                </m:r>
                              </m:sub>
                              <m:sup>
                                <m:r>
                                  <w:rPr>
                                    <w:rFonts w:ascii="Cambria Math" w:hAnsi="Cambria Math"/>
                                    <w:sz w:val="22"/>
                                    <w:szCs w:val="22"/>
                                  </w:rPr>
                                  <m:t>varOM</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r</m:t>
                                </m:r>
                              </m:sub>
                              <m:sup>
                                <m:r>
                                  <w:rPr>
                                    <w:rFonts w:ascii="Cambria Math" w:hAnsi="Cambria Math"/>
                                    <w:sz w:val="22"/>
                                    <w:szCs w:val="22"/>
                                  </w:rPr>
                                  <m:t>varFuel</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r</m:t>
                                </m:r>
                              </m:sub>
                              <m:sup>
                                <m:r>
                                  <w:rPr>
                                    <w:rFonts w:ascii="Cambria Math" w:hAnsi="Cambria Math"/>
                                    <w:sz w:val="22"/>
                                    <w:szCs w:val="22"/>
                                  </w:rPr>
                                  <m:t>varCO2</m:t>
                                </m:r>
                              </m:sup>
                            </m:sSubSup>
                          </m:e>
                        </m:d>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r</m:t>
                            </m:r>
                          </m:sub>
                          <m:sup>
                            <m:r>
                              <w:rPr>
                                <w:rFonts w:ascii="Cambria Math" w:hAnsi="Cambria Math"/>
                                <w:sz w:val="22"/>
                                <w:szCs w:val="22"/>
                              </w:rPr>
                              <m:t>StUp</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r</m:t>
                            </m:r>
                          </m:sub>
                          <m:sup>
                            <m:r>
                              <w:rPr>
                                <w:rFonts w:ascii="Cambria Math" w:hAnsi="Cambria Math"/>
                                <w:sz w:val="22"/>
                                <w:szCs w:val="22"/>
                              </w:rPr>
                              <m:t>NSE</m:t>
                            </m:r>
                          </m:sup>
                        </m:sSubSup>
                      </m:e>
                    </m:d>
                  </m:e>
                </m:nary>
              </m:oMath>
            </m:oMathPara>
          </w:p>
        </w:tc>
        <w:tc>
          <w:tcPr>
            <w:tcW w:w="545" w:type="dxa"/>
            <w:tcBorders>
              <w:left w:val="nil"/>
            </w:tcBorders>
            <w:vAlign w:val="center"/>
          </w:tcPr>
          <w:p w14:paraId="48521642" w14:textId="210AD99D" w:rsidR="00C07B41" w:rsidRDefault="00C07B41" w:rsidP="00E173EE">
            <w:pPr>
              <w:pStyle w:val="DoubleIndent"/>
              <w:ind w:firstLine="13"/>
            </w:pPr>
            <w:r>
              <w:t>(2)</w:t>
            </w:r>
          </w:p>
        </w:tc>
      </w:tr>
    </w:tbl>
    <w:p w14:paraId="3D62CC67" w14:textId="77777777" w:rsidR="00780876" w:rsidRDefault="00780876" w:rsidP="00780876">
      <w:pPr>
        <w:keepNext/>
      </w:pPr>
      <w:r>
        <w:t>Under both formulations, the model</w:t>
      </w:r>
      <w:r w:rsidRPr="00BD20E4">
        <w:t xml:space="preserve"> is deterministic with a recursive-dynamic structure. </w:t>
      </w:r>
      <w:r w:rsidRPr="00A7632D">
        <w:t xml:space="preserve">Optimal solutions </w:t>
      </w:r>
      <w:r w:rsidRPr="00BD20E4">
        <w:t xml:space="preserve">are </w:t>
      </w:r>
      <w:r w:rsidRPr="00A7632D">
        <w:t xml:space="preserve">computed </w:t>
      </w:r>
      <w:r w:rsidRPr="00BD20E4">
        <w:t xml:space="preserve">sequentially </w:t>
      </w:r>
      <w:r w:rsidRPr="00A7632D">
        <w:t>for every two</w:t>
      </w:r>
      <w:r w:rsidRPr="00BD20E4">
        <w:t>-</w:t>
      </w:r>
      <w:r w:rsidRPr="00A7632D">
        <w:t>year period</w:t>
      </w:r>
      <w:r w:rsidRPr="00BD20E4">
        <w:t xml:space="preserve">, adding new capacity as needed to meet growing demand, replace retired units, or meet new policy constraints. </w:t>
      </w:r>
      <w:r>
        <w:t>It</w:t>
      </w:r>
      <w:r w:rsidRPr="00BD20E4">
        <w:t xml:space="preserve"> includes</w:t>
      </w:r>
      <w:r>
        <w:t xml:space="preserve"> three decision timeframes defined as </w:t>
      </w:r>
      <w:r w:rsidRPr="00BD20E4">
        <w:t>c</w:t>
      </w:r>
      <w:r w:rsidRPr="00A7632D">
        <w:t xml:space="preserve">apacity expansion planning, </w:t>
      </w:r>
      <w:r w:rsidRPr="00BD20E4">
        <w:t>o</w:t>
      </w:r>
      <w:r>
        <w:t>perational commitment planning</w:t>
      </w:r>
      <w:r w:rsidRPr="00A7632D">
        <w:t xml:space="preserve"> and </w:t>
      </w:r>
      <w:r w:rsidRPr="00BD20E4">
        <w:t>o</w:t>
      </w:r>
      <w:r w:rsidRPr="00A7632D">
        <w:t>peration</w:t>
      </w:r>
      <w:r>
        <w:t>al hourly</w:t>
      </w:r>
      <w:r w:rsidRPr="00A7632D">
        <w:t xml:space="preserve"> dispatch</w:t>
      </w:r>
      <w:r w:rsidRPr="00BD20E4">
        <w:rPr>
          <w:iCs/>
        </w:rPr>
        <w:t xml:space="preserve"> decisions</w:t>
      </w:r>
      <w:r>
        <w:t>.</w:t>
      </w:r>
    </w:p>
    <w:p w14:paraId="124869D5" w14:textId="7CB693CA" w:rsidR="00780876" w:rsidRDefault="00780876" w:rsidP="00780876">
      <w:pPr>
        <w:keepNext/>
      </w:pPr>
      <w:r>
        <w:t xml:space="preserve">As Equation 3 show, the model relies on annualized </w:t>
      </w:r>
      <w:r w:rsidRPr="002E6898">
        <w:t>costs of producing electricity in a region</w:t>
      </w:r>
      <w:r>
        <w:t xml:space="preserve"> </w:t>
      </w:r>
      <m:oMath>
        <m:r>
          <w:rPr>
            <w:rFonts w:ascii="Cambria Math" w:hAnsi="Cambria Math"/>
          </w:rPr>
          <m:t>r</m:t>
        </m:r>
      </m:oMath>
      <w:r w:rsidRPr="002E6898">
        <w:t xml:space="preserve">, considering annualized investment costs for </w:t>
      </w:r>
      <w:r>
        <w:t xml:space="preserve">each </w:t>
      </w:r>
      <w:r w:rsidRPr="002E6898">
        <w:t xml:space="preserve">conventional </w:t>
      </w:r>
      <w:r>
        <w:t xml:space="preserve">fossil-based technologies </w:t>
      </w:r>
      <m:oMath>
        <m:r>
          <w:rPr>
            <w:rFonts w:ascii="Cambria Math" w:hAnsi="Cambria Math"/>
          </w:rPr>
          <m:t>n</m:t>
        </m:r>
      </m:oMath>
      <w: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r, n</m:t>
            </m:r>
          </m:sub>
          <m:sup>
            <m:r>
              <w:rPr>
                <w:rFonts w:ascii="Cambria Math" w:hAnsi="Cambria Math"/>
              </w:rPr>
              <m:t>fixInv</m:t>
            </m:r>
          </m:sup>
        </m:sSubSup>
        <m:r>
          <w:rPr>
            <w:rFonts w:ascii="Cambria Math" w:hAnsi="Cambria Math"/>
          </w:rPr>
          <m:t>)</m:t>
        </m:r>
      </m:oMath>
      <w:r>
        <w:t xml:space="preserve">, </w:t>
      </w:r>
      <w:r w:rsidRPr="002E6898">
        <w:t>wind</w:t>
      </w:r>
      <w:r>
        <w:t xml:space="preserve"> class </w:t>
      </w:r>
      <m:oMath>
        <m:r>
          <w:rPr>
            <w:rFonts w:ascii="Cambria Math" w:hAnsi="Cambria Math"/>
          </w:rPr>
          <m:t>c</m:t>
        </m:r>
      </m:oMath>
      <w: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r,c</m:t>
            </m:r>
          </m:sub>
          <m:sup>
            <m:r>
              <w:rPr>
                <w:rFonts w:ascii="Cambria Math" w:hAnsi="Cambria Math"/>
              </w:rPr>
              <m:t>fixInv_wind</m:t>
            </m:r>
          </m:sup>
        </m:sSubSup>
        <m:r>
          <w:rPr>
            <w:rFonts w:ascii="Cambria Math" w:hAnsi="Cambria Math"/>
          </w:rPr>
          <m:t>)</m:t>
        </m:r>
      </m:oMath>
      <w:r>
        <w:t xml:space="preserve"> and solar renewables (</w:t>
      </w:r>
      <m:oMath>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fixInv_solar</m:t>
            </m:r>
          </m:sup>
        </m:sSubSup>
        <m:r>
          <w:rPr>
            <w:rFonts w:ascii="Cambria Math" w:hAnsi="Cambria Math"/>
          </w:rPr>
          <m:t>)</m:t>
        </m:r>
      </m:oMath>
      <w:r>
        <w:t>, and pumped hydro storage (</w:t>
      </w:r>
      <m:oMath>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fixInv_phs</m:t>
            </m:r>
          </m:sup>
        </m:sSubSup>
        <m:r>
          <w:rPr>
            <w:rFonts w:ascii="Cambria Math" w:hAnsi="Cambria Math"/>
          </w:rPr>
          <m:t>)</m:t>
        </m:r>
      </m:oMath>
      <w:r>
        <w:t xml:space="preserve">. Accordingly, main decisions variables include not only </w:t>
      </w:r>
      <w:r w:rsidRPr="002E6898">
        <w:t xml:space="preserve">operational decisions </w:t>
      </w:r>
      <w:r w:rsidRPr="002E6898">
        <w:lastRenderedPageBreak/>
        <w:t>such as daily connected power and hourly production</w:t>
      </w:r>
      <w:r>
        <w:t xml:space="preserve">, but also </w:t>
      </w:r>
      <w:r w:rsidRPr="002E6898">
        <w:t>generation investments</w:t>
      </w:r>
      <w:r>
        <w:t xml:space="preserve"> to install for fossil fuel technologies </w:t>
      </w:r>
      <m:oMath>
        <m:sSub>
          <m:sSubPr>
            <m:ctrlPr>
              <w:rPr>
                <w:rFonts w:ascii="Cambria Math" w:hAnsi="Cambria Math"/>
                <w:i/>
              </w:rPr>
            </m:ctrlPr>
          </m:sSubPr>
          <m:e>
            <m:r>
              <w:rPr>
                <w:rFonts w:ascii="Cambria Math" w:hAnsi="Cambria Math"/>
              </w:rPr>
              <m:t>(K</m:t>
            </m:r>
          </m:e>
          <m:sub>
            <m:r>
              <w:rPr>
                <w:rFonts w:ascii="Cambria Math" w:hAnsi="Cambria Math"/>
              </w:rPr>
              <m:t>r,n</m:t>
            </m:r>
          </m:sub>
        </m:sSub>
        <m:r>
          <w:rPr>
            <w:rFonts w:ascii="Cambria Math" w:hAnsi="Cambria Math"/>
          </w:rPr>
          <m:t>)</m:t>
        </m:r>
      </m:oMath>
      <w:r>
        <w:t xml:space="preserve">, wind and solar </w:t>
      </w:r>
      <m:oMath>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r,c</m:t>
            </m:r>
          </m:sub>
          <m:sup>
            <m:r>
              <w:rPr>
                <w:rFonts w:ascii="Cambria Math" w:hAnsi="Cambria Math"/>
              </w:rPr>
              <m:t>wind</m:t>
            </m:r>
          </m:sup>
        </m:sSubSup>
        <m:r>
          <w:rPr>
            <w:rFonts w:ascii="Cambria Math" w:hAnsi="Cambria Math"/>
          </w:rPr>
          <m:t xml:space="preserve">, </m:t>
        </m:r>
        <m:sSubSup>
          <m:sSubSupPr>
            <m:ctrlPr>
              <w:rPr>
                <w:rFonts w:ascii="Cambria Math" w:hAnsi="Cambria Math"/>
                <w:i/>
              </w:rPr>
            </m:ctrlPr>
          </m:sSubSupPr>
          <m:e>
            <m:r>
              <w:rPr>
                <w:rFonts w:ascii="Cambria Math" w:hAnsi="Cambria Math"/>
              </w:rPr>
              <m:t>K</m:t>
            </m:r>
          </m:e>
          <m:sub>
            <m:r>
              <w:rPr>
                <w:rFonts w:ascii="Cambria Math" w:hAnsi="Cambria Math"/>
              </w:rPr>
              <m:t>r</m:t>
            </m:r>
          </m:sub>
          <m:sup>
            <m:r>
              <w:rPr>
                <w:rFonts w:ascii="Cambria Math" w:hAnsi="Cambria Math"/>
              </w:rPr>
              <m:t>solar</m:t>
            </m:r>
          </m:sup>
        </m:sSubSup>
        <m:r>
          <w:rPr>
            <w:rFonts w:ascii="Cambria Math" w:hAnsi="Cambria Math"/>
          </w:rPr>
          <m:t>)</m:t>
        </m:r>
      </m:oMath>
      <w:r>
        <w:t xml:space="preserve"> and pumped hydro storage (</w:t>
      </w:r>
      <m:oMath>
        <m:sSubSup>
          <m:sSubSupPr>
            <m:ctrlPr>
              <w:rPr>
                <w:rFonts w:ascii="Cambria Math" w:hAnsi="Cambria Math"/>
                <w:i/>
              </w:rPr>
            </m:ctrlPr>
          </m:sSubSupPr>
          <m:e>
            <m:r>
              <w:rPr>
                <w:rFonts w:ascii="Cambria Math" w:hAnsi="Cambria Math"/>
              </w:rPr>
              <m:t>K</m:t>
            </m:r>
          </m:e>
          <m:sub>
            <m:r>
              <w:rPr>
                <w:rFonts w:ascii="Cambria Math" w:hAnsi="Cambria Math"/>
              </w:rPr>
              <m:t>r</m:t>
            </m:r>
          </m:sub>
          <m:sup>
            <m:r>
              <w:rPr>
                <w:rFonts w:ascii="Cambria Math" w:hAnsi="Cambria Math"/>
              </w:rPr>
              <m:t>phs</m:t>
            </m:r>
          </m:sup>
        </m:sSubSup>
        <m:r>
          <w:rPr>
            <w:rFonts w:ascii="Cambria Math" w:hAnsi="Cambria Math"/>
          </w:rPr>
          <m:t>)</m:t>
        </m:r>
      </m:oMath>
      <w:r>
        <w:t>.</w:t>
      </w:r>
    </w:p>
    <w:tbl>
      <w:tblPr>
        <w:tblStyle w:val="TableGrid"/>
        <w:tblW w:w="92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545"/>
      </w:tblGrid>
      <w:tr w:rsidR="00C07B41" w14:paraId="3FC17C8B" w14:textId="77777777" w:rsidTr="00E173EE">
        <w:tc>
          <w:tcPr>
            <w:tcW w:w="8725" w:type="dxa"/>
            <w:vAlign w:val="center"/>
          </w:tcPr>
          <w:p w14:paraId="628527D3" w14:textId="77777777" w:rsidR="00C07B41" w:rsidRPr="00C07B41" w:rsidRDefault="00AC0762" w:rsidP="00C07B41">
            <w:pPr>
              <w:keepNext/>
              <w:spacing w:before="240" w:after="240"/>
              <w:ind w:right="515"/>
            </w:pPr>
            <m:oMathPara>
              <m:oMath>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fixCap</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n</m:t>
                    </m:r>
                  </m:sub>
                  <m:sup/>
                  <m:e>
                    <m:sSub>
                      <m:sSubPr>
                        <m:ctrlPr>
                          <w:rPr>
                            <w:rFonts w:ascii="Cambria Math" w:hAnsi="Cambria Math"/>
                            <w:i/>
                          </w:rPr>
                        </m:ctrlPr>
                      </m:sSubPr>
                      <m:e>
                        <m:r>
                          <w:rPr>
                            <w:rFonts w:ascii="Cambria Math" w:hAnsi="Cambria Math"/>
                          </w:rPr>
                          <m:t>K</m:t>
                        </m:r>
                      </m:e>
                      <m:sub>
                        <m:r>
                          <w:rPr>
                            <w:rFonts w:ascii="Cambria Math" w:hAnsi="Cambria Math"/>
                          </w:rPr>
                          <m:t>r,n</m:t>
                        </m:r>
                      </m:sub>
                    </m:sSub>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r, n</m:t>
                        </m:r>
                      </m:sub>
                      <m:sup>
                        <m:r>
                          <w:rPr>
                            <w:rFonts w:ascii="Cambria Math" w:hAnsi="Cambria Math"/>
                          </w:rPr>
                          <m:t>fixInv</m:t>
                        </m:r>
                      </m:sup>
                    </m:sSubSup>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sSubSup>
                      <m:sSubSupPr>
                        <m:ctrlPr>
                          <w:rPr>
                            <w:rFonts w:ascii="Cambria Math" w:hAnsi="Cambria Math"/>
                            <w:i/>
                          </w:rPr>
                        </m:ctrlPr>
                      </m:sSubSupPr>
                      <m:e>
                        <m:r>
                          <w:rPr>
                            <w:rFonts w:ascii="Cambria Math" w:hAnsi="Cambria Math"/>
                          </w:rPr>
                          <m:t>K</m:t>
                        </m:r>
                      </m:e>
                      <m:sub>
                        <m:r>
                          <w:rPr>
                            <w:rFonts w:ascii="Cambria Math" w:hAnsi="Cambria Math"/>
                          </w:rPr>
                          <m:t>r,c</m:t>
                        </m:r>
                      </m:sub>
                      <m:sup>
                        <m:r>
                          <w:rPr>
                            <w:rFonts w:ascii="Cambria Math" w:hAnsi="Cambria Math"/>
                          </w:rPr>
                          <m:t>wind</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r,c</m:t>
                        </m:r>
                      </m:sub>
                      <m:sup>
                        <m:r>
                          <w:rPr>
                            <w:rFonts w:ascii="Cambria Math" w:hAnsi="Cambria Math"/>
                          </w:rPr>
                          <m:t>fixIn</m:t>
                        </m:r>
                        <m:sSub>
                          <m:sSubPr>
                            <m:ctrlPr>
                              <w:rPr>
                                <w:rFonts w:ascii="Cambria Math" w:hAnsi="Cambria Math"/>
                                <w:i/>
                              </w:rPr>
                            </m:ctrlPr>
                          </m:sSubPr>
                          <m:e>
                            <m:r>
                              <w:rPr>
                                <w:rFonts w:ascii="Cambria Math" w:hAnsi="Cambria Math"/>
                              </w:rPr>
                              <m:t>v</m:t>
                            </m:r>
                          </m:e>
                          <m:sub>
                            <m:r>
                              <w:rPr>
                                <w:rFonts w:ascii="Cambria Math" w:hAnsi="Cambria Math"/>
                              </w:rPr>
                              <m:t>wind</m:t>
                            </m:r>
                          </m:sub>
                        </m:sSub>
                      </m:sup>
                    </m:sSubSup>
                  </m:e>
                </m:nary>
              </m:oMath>
            </m:oMathPara>
          </w:p>
          <w:p w14:paraId="7F85B586" w14:textId="288144F5" w:rsidR="00C07B41" w:rsidRDefault="00C07B41" w:rsidP="00C07B41">
            <w:pPr>
              <w:keepNext/>
              <w:spacing w:before="240" w:after="240"/>
              <w:ind w:left="440" w:right="515"/>
            </w:pPr>
            <m:oMathPara>
              <m:oMath>
                <m:r>
                  <w:rPr>
                    <w:rFonts w:ascii="Cambria Math" w:hAnsi="Cambria Math"/>
                  </w:rPr>
                  <m:t xml:space="preserve">             + </m:t>
                </m:r>
                <m:sSubSup>
                  <m:sSubSupPr>
                    <m:ctrlPr>
                      <w:rPr>
                        <w:rFonts w:ascii="Cambria Math" w:hAnsi="Cambria Math"/>
                        <w:i/>
                      </w:rPr>
                    </m:ctrlPr>
                  </m:sSubSupPr>
                  <m:e>
                    <m:r>
                      <w:rPr>
                        <w:rFonts w:ascii="Cambria Math" w:hAnsi="Cambria Math"/>
                      </w:rPr>
                      <m:t>K</m:t>
                    </m:r>
                  </m:e>
                  <m:sub>
                    <m:r>
                      <w:rPr>
                        <w:rFonts w:ascii="Cambria Math" w:hAnsi="Cambria Math"/>
                      </w:rPr>
                      <m:t>r</m:t>
                    </m:r>
                  </m:sub>
                  <m:sup>
                    <m:r>
                      <w:rPr>
                        <w:rFonts w:ascii="Cambria Math" w:hAnsi="Cambria Math"/>
                      </w:rPr>
                      <m:t>solar</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fixIn</m:t>
                    </m:r>
                    <m:sSub>
                      <m:sSubPr>
                        <m:ctrlPr>
                          <w:rPr>
                            <w:rFonts w:ascii="Cambria Math" w:hAnsi="Cambria Math"/>
                            <w:i/>
                          </w:rPr>
                        </m:ctrlPr>
                      </m:sSubPr>
                      <m:e>
                        <m:r>
                          <w:rPr>
                            <w:rFonts w:ascii="Cambria Math" w:hAnsi="Cambria Math"/>
                          </w:rPr>
                          <m:t>v</m:t>
                        </m:r>
                      </m:e>
                      <m:sub>
                        <m:r>
                          <w:rPr>
                            <w:rFonts w:ascii="Cambria Math" w:hAnsi="Cambria Math"/>
                          </w:rPr>
                          <m:t>solar</m:t>
                        </m:r>
                      </m:sub>
                    </m:sSub>
                  </m:sup>
                </m:sSubSup>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r</m:t>
                    </m:r>
                  </m:sub>
                  <m:sup>
                    <m:r>
                      <w:rPr>
                        <w:rFonts w:ascii="Cambria Math" w:hAnsi="Cambria Math"/>
                      </w:rPr>
                      <m:t>phs</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fixInv_phs</m:t>
                    </m:r>
                  </m:sup>
                </m:sSubSup>
                <m:r>
                  <w:rPr>
                    <w:rFonts w:ascii="Cambria Math" w:hAnsi="Cambria Math"/>
                  </w:rPr>
                  <m:t xml:space="preserve">      ∀r</m:t>
                </m:r>
              </m:oMath>
            </m:oMathPara>
          </w:p>
        </w:tc>
        <w:tc>
          <w:tcPr>
            <w:tcW w:w="545" w:type="dxa"/>
            <w:tcBorders>
              <w:left w:val="nil"/>
            </w:tcBorders>
            <w:vAlign w:val="center"/>
          </w:tcPr>
          <w:p w14:paraId="4791CF10" w14:textId="5B68B68B" w:rsidR="00C07B41" w:rsidRDefault="00C07B41" w:rsidP="00E173EE">
            <w:pPr>
              <w:pStyle w:val="DoubleIndent"/>
              <w:ind w:firstLine="13"/>
            </w:pPr>
            <w:r>
              <w:t>(3)</w:t>
            </w:r>
          </w:p>
        </w:tc>
      </w:tr>
    </w:tbl>
    <w:p w14:paraId="1747E269" w14:textId="4EEA2C24" w:rsidR="00780876" w:rsidRDefault="00780876" w:rsidP="00780876">
      <w:r>
        <w:t xml:space="preserve">In the particular case of renewables, their hourly profile estimates are incorporated based on historical and/or numerical weather prediction models time series. </w:t>
      </w:r>
      <w:r w:rsidRPr="00A7632D">
        <w:t xml:space="preserve">Wind </w:t>
      </w:r>
      <w:r w:rsidRPr="00BD20E4">
        <w:t xml:space="preserve">hourly profiles are taken from </w:t>
      </w:r>
      <w:r>
        <w:t>National Renewable Energy Laboratory (</w:t>
      </w:r>
      <w:r w:rsidRPr="00BD20E4">
        <w:t>NREL</w:t>
      </w:r>
      <w:r>
        <w:t>)</w:t>
      </w:r>
      <w:r w:rsidRPr="00BD20E4">
        <w:t xml:space="preserve"> data </w:t>
      </w:r>
      <w:r>
        <w:t xml:space="preserve">and aggregated </w:t>
      </w:r>
      <w:r w:rsidRPr="00BD20E4">
        <w:t>at the regional level of the model</w:t>
      </w:r>
      <w:r>
        <w:t xml:space="preserve">. </w:t>
      </w:r>
      <w:r w:rsidRPr="00BD20E4">
        <w:t>These are far less variable than a single site as they integ</w:t>
      </w:r>
      <w:r>
        <w:t>rate over fairly large regions</w:t>
      </w:r>
      <w:r w:rsidRPr="00BD20E4">
        <w:t>. However, there are still large swings in wind resource availability hour-by-hour</w:t>
      </w:r>
      <w:r>
        <w:t>,</w:t>
      </w:r>
      <w:r w:rsidRPr="00BD20E4">
        <w:t xml:space="preserve"> from near full capac</w:t>
      </w:r>
      <w:r>
        <w:t xml:space="preserve">ity </w:t>
      </w:r>
      <w:r w:rsidRPr="00BD20E4">
        <w:t xml:space="preserve">to little or no </w:t>
      </w:r>
      <w:r w:rsidRPr="00910DCF">
        <w:t>availability</w:t>
      </w:r>
      <w:r>
        <w:t>, and also monthly and seasonal variations among regions. S</w:t>
      </w:r>
      <w:r w:rsidRPr="00BD20E4">
        <w:t xml:space="preserve">olar hourly profiles are </w:t>
      </w:r>
      <w:r>
        <w:t>simulated using</w:t>
      </w:r>
      <w:r w:rsidRPr="00BD20E4">
        <w:t xml:space="preserve"> </w:t>
      </w:r>
      <w:r>
        <w:t xml:space="preserve">NREL’s </w:t>
      </w:r>
      <w:r w:rsidRPr="00094B0D">
        <w:t>System Advisor Model model</w:t>
      </w:r>
      <w:r>
        <w:t xml:space="preserve"> at state level, for various latitude locations and then aggregated at regional level. In general, s</w:t>
      </w:r>
      <w:r w:rsidRPr="00BD20E4">
        <w:t>olar pro</w:t>
      </w:r>
      <w:r>
        <w:t>files</w:t>
      </w:r>
      <w:r w:rsidRPr="00BD20E4">
        <w:t xml:space="preserve"> show the strong diurnal pattern of availabi</w:t>
      </w:r>
      <w:r>
        <w:t>li</w:t>
      </w:r>
      <w:r w:rsidRPr="00BD20E4">
        <w:t xml:space="preserve">ty with no resource during night time, </w:t>
      </w:r>
      <w:r>
        <w:t xml:space="preserve">and </w:t>
      </w:r>
      <w:r w:rsidRPr="00BD20E4">
        <w:t xml:space="preserve">higher availability in </w:t>
      </w:r>
      <w:r>
        <w:t xml:space="preserve">summer months </w:t>
      </w:r>
      <w:r w:rsidRPr="00BD20E4">
        <w:t xml:space="preserve">than in </w:t>
      </w:r>
      <w:r>
        <w:t>winter</w:t>
      </w:r>
      <w:r w:rsidRPr="00BD20E4">
        <w:t>,</w:t>
      </w:r>
      <w:r>
        <w:t xml:space="preserve"> with </w:t>
      </w:r>
      <w:r w:rsidRPr="00BD20E4">
        <w:t>some day-to-day variation</w:t>
      </w:r>
      <w:r>
        <w:t xml:space="preserve"> reflecting cloudiness </w:t>
      </w:r>
      <w:r w:rsidRPr="00BD20E4">
        <w:t xml:space="preserve">and </w:t>
      </w:r>
      <w:r>
        <w:t xml:space="preserve">regional </w:t>
      </w:r>
      <w:r w:rsidRPr="00BD20E4">
        <w:t>time zone differences</w:t>
      </w:r>
      <w:r>
        <w:t>.</w:t>
      </w:r>
      <w:r w:rsidRPr="00094B0D">
        <w:t xml:space="preserve"> </w:t>
      </w:r>
      <w:r>
        <w:t>Both w</w:t>
      </w:r>
      <w:r w:rsidRPr="00BD20E4">
        <w:t xml:space="preserve">ind and solar generation can be curtailed depending on technical </w:t>
      </w:r>
      <w:r w:rsidRPr="00910DCF">
        <w:t>constraints</w:t>
      </w:r>
      <w:r w:rsidRPr="00BD20E4">
        <w:t xml:space="preserve"> and system’s oversupply conditions</w:t>
      </w:r>
      <w:r>
        <w:t>.</w:t>
      </w:r>
    </w:p>
    <w:p w14:paraId="3BC598D5" w14:textId="77777777" w:rsidR="00780876" w:rsidRDefault="00780876" w:rsidP="00780876">
      <w:r>
        <w:t>For hydro generation,</w:t>
      </w:r>
      <w:r w:rsidRPr="0088502E">
        <w:t xml:space="preserve"> </w:t>
      </w:r>
      <w:r>
        <w:t>t</w:t>
      </w:r>
      <w:r w:rsidRPr="00BD20E4">
        <w:t xml:space="preserve">he model currently does not endogenously optimize </w:t>
      </w:r>
      <w:r>
        <w:t>existing hydro power dispatch. We</w:t>
      </w:r>
      <w:r w:rsidRPr="0088502E">
        <w:t xml:space="preserve"> </w:t>
      </w:r>
      <w:r>
        <w:t>represent variation in their profiles at regional scale</w:t>
      </w:r>
      <w:r w:rsidRPr="0088502E">
        <w:t xml:space="preserve"> </w:t>
      </w:r>
      <w:r>
        <w:t xml:space="preserve">to approximate the electricity production coming from non-intermittent renewable resources. Based on historical records using USGS data (UCS, 2012) as described in Boehlert et al. (2016), we established </w:t>
      </w:r>
      <w:r w:rsidRPr="0088502E">
        <w:t xml:space="preserve">wet, </w:t>
      </w:r>
      <w:r>
        <w:t>m</w:t>
      </w:r>
      <w:r w:rsidRPr="0088502E">
        <w:t xml:space="preserve">edium, and </w:t>
      </w:r>
      <w:r>
        <w:t>d</w:t>
      </w:r>
      <w:r w:rsidRPr="0088502E">
        <w:t>ry</w:t>
      </w:r>
      <w:r>
        <w:t xml:space="preserve"> annual hydro supply </w:t>
      </w:r>
      <w:r w:rsidRPr="00910DCF">
        <w:t>conditions</w:t>
      </w:r>
      <w:r>
        <w:t xml:space="preserve"> and for this paper </w:t>
      </w:r>
      <w:r w:rsidRPr="003A445C">
        <w:t>we simulate a medium scenario.</w:t>
      </w:r>
    </w:p>
    <w:p w14:paraId="2684F02F" w14:textId="43BEA593" w:rsidR="00780876" w:rsidRDefault="00780876" w:rsidP="00780876">
      <w:r>
        <w:t>Fossil fuel-based g</w:t>
      </w:r>
      <w:r w:rsidRPr="00BD20E4">
        <w:t xml:space="preserve">eneration options include 12 conventional </w:t>
      </w:r>
      <w:r w:rsidRPr="00991689">
        <w:t>technologies</w:t>
      </w:r>
      <w:r>
        <w:t xml:space="preserve">. Their </w:t>
      </w:r>
      <w:r w:rsidRPr="00BD20E4">
        <w:t xml:space="preserve">representation requires simplified cost and performance characteristics, minimum loading requirement, availability </w:t>
      </w:r>
      <w:r w:rsidRPr="00910DCF">
        <w:t>factors,</w:t>
      </w:r>
      <w:r w:rsidRPr="00095077">
        <w:rPr>
          <w:noProof/>
        </w:rPr>
        <w:t xml:space="preserve"> </w:t>
      </w:r>
      <w:r>
        <w:rPr>
          <w:noProof/>
        </w:rPr>
        <w:t>f</w:t>
      </w:r>
      <w:r w:rsidRPr="00095077">
        <w:rPr>
          <w:noProof/>
        </w:rPr>
        <w:t>orced</w:t>
      </w:r>
      <w:r w:rsidRPr="00BD20E4">
        <w:t xml:space="preserve"> outage rates, and heat rates for thermal plants. </w:t>
      </w:r>
      <w:r>
        <w:t>As noted earlier, c</w:t>
      </w:r>
      <w:r w:rsidRPr="00BD20E4">
        <w:t>osts include fixed and variable O&amp;</w:t>
      </w:r>
      <w:r>
        <w:t>M</w:t>
      </w:r>
      <w:r w:rsidRPr="00BD20E4">
        <w:t>, capital, start-u</w:t>
      </w:r>
      <w:r>
        <w:t>p</w:t>
      </w:r>
      <w:r w:rsidRPr="00BD20E4">
        <w:t>, and fue</w:t>
      </w:r>
      <w:r>
        <w:t xml:space="preserve">l. </w:t>
      </w:r>
      <w:r w:rsidRPr="00BD20E4">
        <w:t>There is also a capacity reserve requirement to ensure long-term reliability of the system to unexpected peaks in demand</w:t>
      </w:r>
      <w:r>
        <w:t xml:space="preserve">, </w:t>
      </w:r>
      <w:r w:rsidRPr="00BD20E4">
        <w:t>assumed to be between 10</w:t>
      </w:r>
      <w:r>
        <w:t xml:space="preserve"> and </w:t>
      </w:r>
      <w:r w:rsidRPr="00BD20E4">
        <w:t>18% depending on the region.</w:t>
      </w:r>
      <w:r>
        <w:t xml:space="preserve"> E</w:t>
      </w:r>
      <w:r w:rsidRPr="00BD20E4">
        <w:t xml:space="preserve">xisting installed capacity per technology is represented in the base year </w:t>
      </w:r>
      <w:r w:rsidR="003A445C">
        <w:t xml:space="preserve">2016 </w:t>
      </w:r>
      <w:r w:rsidRPr="00BD20E4">
        <w:t>as the total capacity for each technology in each region</w:t>
      </w:r>
      <w:r w:rsidR="003A445C">
        <w:t xml:space="preserve"> based on EIA/</w:t>
      </w:r>
      <w:r w:rsidRPr="00E34242">
        <w:t>AEO</w:t>
      </w:r>
      <w:r>
        <w:t xml:space="preserve"> reports. </w:t>
      </w:r>
      <w:r w:rsidRPr="00BD20E4">
        <w:t xml:space="preserve">We have generally assumed that technology costs, in </w:t>
      </w:r>
      <w:r>
        <w:t>the</w:t>
      </w:r>
      <w:r w:rsidRPr="00BD20E4">
        <w:t xml:space="preserve"> reference </w:t>
      </w:r>
      <w:r w:rsidR="003A445C">
        <w:t>case, are those used by the EIA/</w:t>
      </w:r>
      <w:r>
        <w:t xml:space="preserve">AEO </w:t>
      </w:r>
      <w:r w:rsidRPr="00BD20E4">
        <w:t>(2017), except for wind and solar where we have assumed costs continue to decline for both at 3% per year</w:t>
      </w:r>
      <w:r>
        <w:t>.</w:t>
      </w:r>
    </w:p>
    <w:p w14:paraId="54FEF584" w14:textId="2B133881" w:rsidR="00780876" w:rsidRDefault="00780876" w:rsidP="00780876">
      <w:r>
        <w:t>Finally, we</w:t>
      </w:r>
      <w:r w:rsidRPr="00BD20E4">
        <w:t xml:space="preserve"> assume a prescribed annual demand path for electricity </w:t>
      </w:r>
      <w:r>
        <w:t xml:space="preserve">and </w:t>
      </w:r>
      <w:r w:rsidRPr="00EF2DD8">
        <w:t xml:space="preserve">fuel </w:t>
      </w:r>
      <w:r>
        <w:t xml:space="preserve">prices projections </w:t>
      </w:r>
      <w:r w:rsidR="003A445C">
        <w:t>based on the EIA/</w:t>
      </w:r>
      <w:r w:rsidR="009352D4">
        <w:t>AEO (2018</w:t>
      </w:r>
      <w:r>
        <w:t>)</w:t>
      </w:r>
      <w:r w:rsidRPr="00BD20E4">
        <w:t xml:space="preserve">. The most relevant </w:t>
      </w:r>
      <w:r>
        <w:t>ones being</w:t>
      </w:r>
      <w:r w:rsidRPr="00BD20E4">
        <w:t xml:space="preserve"> gas, coal, and nuclear fuel co</w:t>
      </w:r>
      <w:r>
        <w:t xml:space="preserve">sts </w:t>
      </w:r>
      <w:r w:rsidRPr="00C37476">
        <w:t>which rise slowly over time. See Appendixes A and B for details about technology costs,</w:t>
      </w:r>
      <w:r w:rsidRPr="0083486F">
        <w:t xml:space="preserve"> operational parameters, demand and fuel prices.</w:t>
      </w:r>
      <w:r>
        <w:t xml:space="preserve"> </w:t>
      </w:r>
    </w:p>
    <w:p w14:paraId="2464ED36" w14:textId="6546F3C6" w:rsidR="005B6D90" w:rsidRDefault="005B6D90" w:rsidP="007434C9">
      <w:pPr>
        <w:pStyle w:val="Heading2"/>
      </w:pPr>
      <w:r>
        <w:lastRenderedPageBreak/>
        <w:t>The TD-BU Integration</w:t>
      </w:r>
    </w:p>
    <w:p w14:paraId="7C374D76" w14:textId="39BC9904" w:rsidR="007F7D5C" w:rsidRDefault="007F7D5C" w:rsidP="007F7D5C">
      <w:r>
        <w:t xml:space="preserve">The solution method to couple both models is based on the decomposition algorithm proposed by </w:t>
      </w:r>
      <w:r w:rsidRPr="006D0B73">
        <w:t>Böhringer and Rutherford</w:t>
      </w:r>
      <w:r>
        <w:t xml:space="preserve"> (2009). Iterations between the USREP and EleMod involve passing back and forth electricity supply and fuel demand and prices information until both models converge. </w:t>
      </w:r>
      <w:r w:rsidR="00C337FF">
        <w:fldChar w:fldCharType="begin"/>
      </w:r>
      <w:r w:rsidR="00C337FF">
        <w:instrText xml:space="preserve"> REF _Ref11673152 \h </w:instrText>
      </w:r>
      <w:r w:rsidR="00C337FF">
        <w:fldChar w:fldCharType="separate"/>
      </w:r>
      <w:r w:rsidR="008D6287" w:rsidRPr="000125DF">
        <w:t xml:space="preserve">Figure </w:t>
      </w:r>
      <w:r w:rsidR="008D6287">
        <w:rPr>
          <w:noProof/>
        </w:rPr>
        <w:t>3</w:t>
      </w:r>
      <w:r w:rsidR="00C337FF">
        <w:fldChar w:fldCharType="end"/>
      </w:r>
      <w:r w:rsidR="00C337FF">
        <w:t xml:space="preserve"> </w:t>
      </w:r>
      <w:r>
        <w:t>illustrates the iterative process and the information that each model needs to exchange in order to reach general equilibrium conditions.</w:t>
      </w:r>
    </w:p>
    <w:p w14:paraId="6E02E8F0" w14:textId="5CBE8E2B" w:rsidR="005B6D90" w:rsidRPr="00F46D9E" w:rsidRDefault="008B4FA5" w:rsidP="00F46D9E">
      <w:pPr>
        <w:pStyle w:val="Figure"/>
      </w:pPr>
      <w:r w:rsidRPr="00F46D9E">
        <w:rPr>
          <w:noProof/>
          <w:lang w:eastAsia="zh-CN"/>
        </w:rPr>
        <w:drawing>
          <wp:inline distT="0" distB="0" distL="0" distR="0" wp14:anchorId="72656D08" wp14:editId="41F87964">
            <wp:extent cx="4791456" cy="301752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456" cy="3017520"/>
                    </a:xfrm>
                    <a:prstGeom prst="rect">
                      <a:avLst/>
                    </a:prstGeom>
                    <a:noFill/>
                  </pic:spPr>
                </pic:pic>
              </a:graphicData>
            </a:graphic>
          </wp:inline>
        </w:drawing>
      </w:r>
    </w:p>
    <w:p w14:paraId="045EFC97" w14:textId="5D08F3E1" w:rsidR="00DD6391" w:rsidRPr="000125DF" w:rsidRDefault="00DD6391" w:rsidP="00E67323">
      <w:pPr>
        <w:pStyle w:val="Caption"/>
      </w:pPr>
      <w:bookmarkStart w:id="3" w:name="_Ref11673152"/>
      <w:r w:rsidRPr="000125DF">
        <w:t xml:space="preserve">Figure </w:t>
      </w:r>
      <w:fldSimple w:instr=" SEQ Figure \* ARABIC ">
        <w:r w:rsidR="003A1D5B">
          <w:rPr>
            <w:noProof/>
          </w:rPr>
          <w:t>3</w:t>
        </w:r>
      </w:fldSimple>
      <w:bookmarkEnd w:id="3"/>
      <w:r w:rsidRPr="000125DF">
        <w:t>: Coupling the TD and BU models – Information exchange</w:t>
      </w:r>
    </w:p>
    <w:p w14:paraId="3CC374E4" w14:textId="5A87516D" w:rsidR="00BC4171" w:rsidRDefault="00FE6AB2" w:rsidP="0048253A">
      <w:r>
        <w:t xml:space="preserve">For </w:t>
      </w:r>
      <w:r w:rsidR="00651985">
        <w:t xml:space="preserve">each year in </w:t>
      </w:r>
      <w:r>
        <w:t xml:space="preserve">the reference case, we feed </w:t>
      </w:r>
      <w:r w:rsidR="00651985">
        <w:t>the regional</w:t>
      </w:r>
      <w:r>
        <w:t xml:space="preserve"> electricity supply and fuel prices </w:t>
      </w:r>
      <w:r w:rsidR="00651985">
        <w:t xml:space="preserve">based on EIA/AEO projection </w:t>
      </w:r>
      <w:r>
        <w:t xml:space="preserve">to EleMod which in turn determines generation by technology type, </w:t>
      </w:r>
      <w:r w:rsidR="00274A09">
        <w:t>generation input demand (</w:t>
      </w:r>
      <w:r>
        <w:t>fuel demand</w:t>
      </w:r>
      <w:r w:rsidR="00274A09">
        <w:t>, capacity investment, O&amp;M costs)</w:t>
      </w:r>
      <w:r>
        <w:t xml:space="preserve"> and electricity supply </w:t>
      </w:r>
      <w:r w:rsidR="00651985">
        <w:t xml:space="preserve">price </w:t>
      </w:r>
      <w:r>
        <w:t xml:space="preserve">comprised of generation cost, RPS compliance cost, cost of operating reserve and marginal reserve requirement. EleMod passes electricity supply, </w:t>
      </w:r>
      <w:r w:rsidR="00274A09">
        <w:t xml:space="preserve">generation input demand </w:t>
      </w:r>
      <w:r>
        <w:t xml:space="preserve">and </w:t>
      </w:r>
      <w:r w:rsidR="00651985">
        <w:t xml:space="preserve">electricity supply price </w:t>
      </w:r>
      <w:r w:rsidR="0048253A">
        <w:t>to USREP</w:t>
      </w:r>
      <w:r w:rsidR="00903A89">
        <w:t xml:space="preserve"> in which </w:t>
      </w:r>
      <w:r w:rsidR="0048253A">
        <w:t xml:space="preserve">the CES production </w:t>
      </w:r>
      <w:r w:rsidR="00903A89">
        <w:t xml:space="preserve">function </w:t>
      </w:r>
      <w:r w:rsidR="0048253A">
        <w:t>of electricity generation is replaced with an exogenous</w:t>
      </w:r>
      <w:r w:rsidR="00A0354D">
        <w:t xml:space="preserve"> electricity supply. We calibrate USREP to the electricity supply</w:t>
      </w:r>
      <w:r w:rsidR="00274A09">
        <w:t xml:space="preserve">, electricity input demand </w:t>
      </w:r>
      <w:r w:rsidR="00A0354D">
        <w:t xml:space="preserve">as well as electricity supply price. </w:t>
      </w:r>
      <w:r w:rsidR="00274A09">
        <w:t>We</w:t>
      </w:r>
      <w:r w:rsidR="00A0354D">
        <w:t xml:space="preserve"> </w:t>
      </w:r>
      <w:r w:rsidR="00FA1BC1">
        <w:t>impose a zero-profit condition for the electricity sector by allocating the electricity sector profit/loss to household.</w:t>
      </w:r>
      <w:r w:rsidR="00FA1BC1">
        <w:rPr>
          <w:rStyle w:val="FootnoteReference"/>
        </w:rPr>
        <w:footnoteReference w:id="3"/>
      </w:r>
      <w:r w:rsidR="00DE36C7">
        <w:t xml:space="preserve"> </w:t>
      </w:r>
      <w:r w:rsidR="002A16A2">
        <w:t>In such a sequence, we run the model</w:t>
      </w:r>
      <w:r w:rsidR="008B4FA5">
        <w:t>s</w:t>
      </w:r>
      <w:r w:rsidR="002A16A2">
        <w:t xml:space="preserve"> in a two-year step to 2050 and achieve consistency between the models in electricity supply, </w:t>
      </w:r>
      <w:r w:rsidR="00686E7C">
        <w:t>generation input demand</w:t>
      </w:r>
      <w:r w:rsidR="002A16A2">
        <w:t xml:space="preserve"> and electricity supply price.</w:t>
      </w:r>
      <w:r w:rsidR="001C2AA8">
        <w:rPr>
          <w:rStyle w:val="FootnoteReference"/>
        </w:rPr>
        <w:footnoteReference w:id="4"/>
      </w:r>
      <w:r w:rsidR="002A16A2">
        <w:t xml:space="preserve"> </w:t>
      </w:r>
    </w:p>
    <w:p w14:paraId="5DFA6946" w14:textId="4D47998B" w:rsidR="005C66E1" w:rsidRPr="00FE6AB2" w:rsidRDefault="005C66E1" w:rsidP="00FE6AB2">
      <w:r>
        <w:lastRenderedPageBreak/>
        <w:t>In the counterfactual scenario, t</w:t>
      </w:r>
      <w:r w:rsidR="001818B9">
        <w:t xml:space="preserve">he TD-BU model runs iteratively </w:t>
      </w:r>
      <w:r>
        <w:t xml:space="preserve">as illustrated in </w:t>
      </w:r>
      <w:r>
        <w:fldChar w:fldCharType="begin"/>
      </w:r>
      <w:r>
        <w:instrText xml:space="preserve"> REF _Ref11673152 \h </w:instrText>
      </w:r>
      <w:r>
        <w:fldChar w:fldCharType="separate"/>
      </w:r>
      <w:r w:rsidR="008D6287" w:rsidRPr="000125DF">
        <w:t xml:space="preserve">Figure </w:t>
      </w:r>
      <w:r w:rsidR="008D6287">
        <w:rPr>
          <w:noProof/>
        </w:rPr>
        <w:t>3</w:t>
      </w:r>
      <w:r>
        <w:fldChar w:fldCharType="end"/>
      </w:r>
      <w:r w:rsidR="00DE36C7">
        <w:t>.</w:t>
      </w:r>
      <w:r w:rsidR="008B4FA5">
        <w:t xml:space="preserve"> To a </w:t>
      </w:r>
      <w:r w:rsidR="00D403AC">
        <w:t>new</w:t>
      </w:r>
      <w:r w:rsidR="008B4FA5">
        <w:t xml:space="preserve"> policy regime, EleMod responds with </w:t>
      </w:r>
      <w:r w:rsidR="00D403AC">
        <w:t>change</w:t>
      </w:r>
      <w:r w:rsidR="004D42C1">
        <w:t>s</w:t>
      </w:r>
      <w:r w:rsidR="00D403AC">
        <w:t xml:space="preserve"> in</w:t>
      </w:r>
      <w:r w:rsidR="008B4FA5">
        <w:t xml:space="preserve"> </w:t>
      </w:r>
      <w:r w:rsidR="00D403AC">
        <w:t>electricity supply</w:t>
      </w:r>
      <w:r w:rsidR="008B4FA5">
        <w:t xml:space="preserve">, </w:t>
      </w:r>
      <w:r w:rsidR="00E62B2E">
        <w:t>generation input demand and</w:t>
      </w:r>
      <w:r w:rsidR="00D403AC">
        <w:t xml:space="preserve"> electricity supply price as a result of</w:t>
      </w:r>
      <w:r w:rsidR="00F46D9E">
        <w:t xml:space="preserve"> maximizing the total surplus of generation characterized by reference electricity supply, price,</w:t>
      </w:r>
      <w:r w:rsidR="00B03775">
        <w:t xml:space="preserve"> and demand elasticity. </w:t>
      </w:r>
      <w:r w:rsidR="00D403AC">
        <w:t xml:space="preserve">We pass </w:t>
      </w:r>
      <w:r w:rsidR="00E62B2E">
        <w:t xml:space="preserve">the updated electricity supply and generation input demand </w:t>
      </w:r>
      <w:r w:rsidR="00D403AC">
        <w:t xml:space="preserve">to USREP which </w:t>
      </w:r>
      <w:r w:rsidR="00E62B2E">
        <w:t xml:space="preserve">produces a general equilibrium </w:t>
      </w:r>
      <w:r w:rsidR="00D403AC">
        <w:t>r</w:t>
      </w:r>
      <w:r w:rsidR="00E62B2E">
        <w:t xml:space="preserve">esponse in prices </w:t>
      </w:r>
      <w:r w:rsidR="00D403AC">
        <w:t>to both the change in policy regime and the changes in electricity supply</w:t>
      </w:r>
      <w:r w:rsidR="00E62B2E">
        <w:t xml:space="preserve"> and</w:t>
      </w:r>
      <w:r w:rsidR="00D403AC">
        <w:t xml:space="preserve"> </w:t>
      </w:r>
      <w:r w:rsidR="00E62B2E">
        <w:t>generation input</w:t>
      </w:r>
      <w:r w:rsidR="00D403AC">
        <w:t xml:space="preserve"> demand</w:t>
      </w:r>
      <w:r w:rsidR="00E62B2E">
        <w:t xml:space="preserve">. We then pass the changes in prices of electricity demand, fuel supply, capital and labor supply to EleMod </w:t>
      </w:r>
      <w:r w:rsidR="00F03681">
        <w:t>and update the reference electricity price, fuel prices, fixed O&amp;M cost and variable O&amp;M cost, respectively.</w:t>
      </w:r>
      <w:r w:rsidR="00ED5917">
        <w:rPr>
          <w:rStyle w:val="FootnoteReference"/>
        </w:rPr>
        <w:footnoteReference w:id="5"/>
      </w:r>
      <w:r w:rsidR="00F03681">
        <w:t xml:space="preserve"> In addition, we update the reference electricity supply in the quadratic objective function to be consistent with the reference electricity price. To speed up the convergence, we derive </w:t>
      </w:r>
      <w:r w:rsidR="002D0216">
        <w:t>the electricity demand elasticity in USREP and update the elasticity parameter in the quadratic objective function</w:t>
      </w:r>
      <w:r w:rsidR="005E6104">
        <w:t xml:space="preserve"> in EleMod</w:t>
      </w:r>
      <w:r w:rsidR="002D0216">
        <w:t xml:space="preserve">. </w:t>
      </w:r>
      <w:r w:rsidR="007E260A">
        <w:t>The iteration between the TD and BU model continues until both models agree on electricity price. That is, the electricity supply price generated by EleMod and the electricity demand price generated by USREP converge.</w:t>
      </w:r>
      <w:r w:rsidR="00B13D36">
        <w:t xml:space="preserve"> </w:t>
      </w:r>
    </w:p>
    <w:p w14:paraId="4696FF1B" w14:textId="1E60F546" w:rsidR="000F187D" w:rsidRDefault="006B3200" w:rsidP="007434C9">
      <w:r>
        <w:t>Iteration</w:t>
      </w:r>
      <w:r w:rsidR="00B13D36">
        <w:t xml:space="preserve"> between the models is </w:t>
      </w:r>
      <w:r w:rsidR="000F187D" w:rsidRPr="000D43FC">
        <w:t xml:space="preserve">important because demand for resources – fuels, capital, labor, and materials – </w:t>
      </w:r>
      <w:r w:rsidR="008E0249" w:rsidRPr="000D43FC">
        <w:t>in</w:t>
      </w:r>
      <w:r w:rsidR="000F187D" w:rsidRPr="000D43FC">
        <w:t xml:space="preserve"> the </w:t>
      </w:r>
      <w:r w:rsidR="00B966B4" w:rsidRPr="000D43FC">
        <w:t>BU</w:t>
      </w:r>
      <w:r w:rsidR="000F187D">
        <w:t xml:space="preserve"> model must be communicated in a consistent way to the macro model so as to recognize the limited supply of those resources in each time period. </w:t>
      </w:r>
      <w:r w:rsidR="00B966B4">
        <w:t>Likewise,</w:t>
      </w:r>
      <w:r w:rsidR="000F187D">
        <w:t xml:space="preserve"> the changes in prices must be communicated back to the </w:t>
      </w:r>
      <w:r w:rsidR="00B966B4">
        <w:t>BU</w:t>
      </w:r>
      <w:r w:rsidR="00C52259">
        <w:t xml:space="preserve"> model in a manner that is consistent with the variables incorporated in the </w:t>
      </w:r>
      <w:r w:rsidR="00B966B4">
        <w:t>BU</w:t>
      </w:r>
      <w:r w:rsidR="00C52259">
        <w:t xml:space="preserve"> model. Given the different </w:t>
      </w:r>
      <w:r w:rsidR="00B966B4">
        <w:t xml:space="preserve">temporal </w:t>
      </w:r>
      <w:r w:rsidR="00C52259">
        <w:t>resolution and databases of the two models</w:t>
      </w:r>
      <w:r w:rsidR="00B966B4">
        <w:t>,</w:t>
      </w:r>
      <w:r w:rsidR="00C52259">
        <w:t xml:space="preserve"> this is a nontrivial task.</w:t>
      </w:r>
    </w:p>
    <w:p w14:paraId="1896EB4F" w14:textId="77777777" w:rsidR="00B7571E" w:rsidRDefault="00B7571E" w:rsidP="007434C9">
      <w:pPr>
        <w:pStyle w:val="Heading1"/>
      </w:pPr>
      <w:r>
        <w:t>Scenarios</w:t>
      </w:r>
    </w:p>
    <w:p w14:paraId="70CDF7DC" w14:textId="7E7A9A31" w:rsidR="00C52259" w:rsidRDefault="006F27F2" w:rsidP="007434C9">
      <w:r>
        <w:t xml:space="preserve">We proposed in this </w:t>
      </w:r>
      <w:r w:rsidR="00C52259">
        <w:t xml:space="preserve">paper </w:t>
      </w:r>
      <w:r>
        <w:t xml:space="preserve">to </w:t>
      </w:r>
      <w:r w:rsidR="00C52259">
        <w:t xml:space="preserve">discuss results for a </w:t>
      </w:r>
      <w:r w:rsidR="00A73679">
        <w:t>reference scenario with existing</w:t>
      </w:r>
      <w:r w:rsidR="00C52259">
        <w:t xml:space="preserve"> policy and for three scenarios that represent different RPS requirements.</w:t>
      </w:r>
    </w:p>
    <w:p w14:paraId="28AA9BAC" w14:textId="32C5F2A5" w:rsidR="00B7571E" w:rsidRPr="00C52259" w:rsidRDefault="00A73679" w:rsidP="007434C9">
      <w:pPr>
        <w:pStyle w:val="ListParagraph"/>
        <w:numPr>
          <w:ilvl w:val="0"/>
          <w:numId w:val="2"/>
        </w:numPr>
      </w:pPr>
      <w:r>
        <w:t>(</w:t>
      </w:r>
      <w:r w:rsidRPr="00877223">
        <w:rPr>
          <w:b/>
        </w:rPr>
        <w:t>REF</w:t>
      </w:r>
      <w:r>
        <w:t xml:space="preserve">) </w:t>
      </w:r>
      <w:r w:rsidR="00C52259">
        <w:t xml:space="preserve">USREP generates its own </w:t>
      </w:r>
      <w:r>
        <w:t>reference</w:t>
      </w:r>
      <w:r w:rsidR="00C52259">
        <w:t xml:space="preserve"> projection based on its resource supply and demand characterizations, and </w:t>
      </w:r>
      <w:r w:rsidR="00FA66A3" w:rsidRPr="00C52259">
        <w:t>E</w:t>
      </w:r>
      <w:r w:rsidR="00FA66A3">
        <w:t>le</w:t>
      </w:r>
      <w:r w:rsidR="00FA66A3" w:rsidRPr="00C52259">
        <w:t>M</w:t>
      </w:r>
      <w:r w:rsidR="00FA66A3">
        <w:t>od</w:t>
      </w:r>
      <w:r w:rsidR="00FA66A3" w:rsidRPr="00C52259">
        <w:t xml:space="preserve"> </w:t>
      </w:r>
      <w:r w:rsidR="00C52259">
        <w:t xml:space="preserve">is calibrated to the </w:t>
      </w:r>
      <w:r w:rsidR="003C24F7">
        <w:t>EIA/</w:t>
      </w:r>
      <w:r w:rsidR="00C52259">
        <w:t xml:space="preserve">AEO </w:t>
      </w:r>
      <w:r w:rsidR="00004776">
        <w:t>reference case</w:t>
      </w:r>
      <w:r w:rsidR="00C52259">
        <w:t xml:space="preserve">.  </w:t>
      </w:r>
      <w:r w:rsidR="00004776">
        <w:t>Our</w:t>
      </w:r>
      <w:r w:rsidR="00ED3C10">
        <w:t xml:space="preserve"> baseline includes existing RPS policies</w:t>
      </w:r>
      <w:r w:rsidR="00004776">
        <w:t xml:space="preserve"> that is consistent with AEO assumption</w:t>
      </w:r>
      <w:r w:rsidR="00F1477B">
        <w:t xml:space="preserve"> in their reference projection</w:t>
      </w:r>
    </w:p>
    <w:p w14:paraId="3422ECED" w14:textId="22C572BB" w:rsidR="008D23FE" w:rsidRPr="00C52259" w:rsidRDefault="0092393C" w:rsidP="007434C9">
      <w:pPr>
        <w:pStyle w:val="ListParagraph"/>
        <w:numPr>
          <w:ilvl w:val="0"/>
          <w:numId w:val="2"/>
        </w:numPr>
      </w:pPr>
      <w:r>
        <w:t>(</w:t>
      </w:r>
      <w:r w:rsidR="0051642C">
        <w:rPr>
          <w:b/>
        </w:rPr>
        <w:t>RPS2</w:t>
      </w:r>
      <w:r w:rsidR="00A73679" w:rsidRPr="00877223">
        <w:rPr>
          <w:b/>
        </w:rPr>
        <w:t>0a</w:t>
      </w:r>
      <w:r w:rsidR="00A73679">
        <w:t xml:space="preserve">) </w:t>
      </w:r>
      <w:r w:rsidR="000A13B6">
        <w:t>One</w:t>
      </w:r>
      <w:r w:rsidR="000A13B6" w:rsidRPr="00C52259">
        <w:t xml:space="preserve"> </w:t>
      </w:r>
      <w:r w:rsidR="00CC33B6" w:rsidRPr="00C52259">
        <w:t xml:space="preserve">scenario </w:t>
      </w:r>
      <w:r w:rsidR="00A73679">
        <w:t xml:space="preserve">that raises all regional RPS requirements by </w:t>
      </w:r>
      <w:r w:rsidR="0051642C">
        <w:t>2</w:t>
      </w:r>
      <w:r w:rsidR="00A73679">
        <w:t>0 percentage points by 2050 with linear interpolation of the RPS requirements from 2020 to 2050</w:t>
      </w:r>
    </w:p>
    <w:p w14:paraId="51F67F3D" w14:textId="226B7EC2" w:rsidR="00A73679" w:rsidRPr="00C52259" w:rsidRDefault="00A73679" w:rsidP="00A73679">
      <w:pPr>
        <w:pStyle w:val="ListParagraph"/>
        <w:numPr>
          <w:ilvl w:val="0"/>
          <w:numId w:val="2"/>
        </w:numPr>
      </w:pPr>
      <w:r>
        <w:t>(</w:t>
      </w:r>
      <w:r w:rsidR="0051642C">
        <w:rPr>
          <w:b/>
        </w:rPr>
        <w:t>RPS4</w:t>
      </w:r>
      <w:r w:rsidRPr="00877223">
        <w:rPr>
          <w:b/>
        </w:rPr>
        <w:t>0a</w:t>
      </w:r>
      <w:r>
        <w:t xml:space="preserve">) </w:t>
      </w:r>
      <w:r w:rsidR="000A13B6">
        <w:t>One</w:t>
      </w:r>
      <w:r w:rsidR="000A13B6" w:rsidRPr="00C52259">
        <w:t xml:space="preserve"> </w:t>
      </w:r>
      <w:r w:rsidR="00CC33B6" w:rsidRPr="00C52259">
        <w:t xml:space="preserve">scenario </w:t>
      </w:r>
      <w:r>
        <w:t>that raises al</w:t>
      </w:r>
      <w:r w:rsidR="0051642C">
        <w:t>l regional RPS requirements by 4</w:t>
      </w:r>
      <w:r>
        <w:t>0 percentage points by 2050 with linear interpolation of the RPS requirements from 2020 to 2050</w:t>
      </w:r>
    </w:p>
    <w:p w14:paraId="652E0EDE" w14:textId="4312FF8B" w:rsidR="00A73679" w:rsidRPr="00C52259" w:rsidRDefault="0092393C" w:rsidP="00A73679">
      <w:pPr>
        <w:pStyle w:val="ListParagraph"/>
        <w:numPr>
          <w:ilvl w:val="0"/>
          <w:numId w:val="2"/>
        </w:numPr>
      </w:pPr>
      <w:r>
        <w:t>(</w:t>
      </w:r>
      <w:r w:rsidRPr="00877223">
        <w:rPr>
          <w:b/>
        </w:rPr>
        <w:t>RPS5</w:t>
      </w:r>
      <w:r w:rsidR="00A73679" w:rsidRPr="00877223">
        <w:rPr>
          <w:b/>
        </w:rPr>
        <w:t>0a</w:t>
      </w:r>
      <w:r w:rsidR="00A73679">
        <w:t>) One</w:t>
      </w:r>
      <w:r w:rsidR="00A73679" w:rsidRPr="00C52259">
        <w:t xml:space="preserve"> scenario </w:t>
      </w:r>
      <w:r w:rsidR="00A73679">
        <w:t xml:space="preserve">that raises all regional RPS requirements by </w:t>
      </w:r>
      <w:r>
        <w:t>5</w:t>
      </w:r>
      <w:r w:rsidR="00A73679">
        <w:t>0 percentage points by 2050 with linear interpolation of the RPS requirements from 2020 to 2050</w:t>
      </w:r>
    </w:p>
    <w:p w14:paraId="61B3B9BB" w14:textId="536D0E76" w:rsidR="00FF37FE" w:rsidRPr="00C52259" w:rsidRDefault="00C52259" w:rsidP="007434C9">
      <w:r>
        <w:t>These scenarios will enable us to</w:t>
      </w:r>
      <w:r w:rsidR="00CC33B6" w:rsidRPr="00C52259">
        <w:t xml:space="preserve"> trace out a marginal cost curv</w:t>
      </w:r>
      <w:r w:rsidR="00F678E5" w:rsidRPr="00C52259">
        <w:t>e for RPS</w:t>
      </w:r>
      <w:r>
        <w:t xml:space="preserve"> by interpolating between the scenarios results</w:t>
      </w:r>
      <w:r w:rsidR="009710E4">
        <w:t xml:space="preserve">. </w:t>
      </w:r>
      <w:r>
        <w:t>This marginal cost curve</w:t>
      </w:r>
      <w:r w:rsidR="00F678E5" w:rsidRPr="00C52259">
        <w:t xml:space="preserve"> will be d</w:t>
      </w:r>
      <w:r w:rsidR="00CC33B6" w:rsidRPr="00C52259">
        <w:t xml:space="preserve">ifferent for each region and hour </w:t>
      </w:r>
      <w:r>
        <w:t>represented in the modeling system</w:t>
      </w:r>
      <w:r w:rsidR="00CC33B6" w:rsidRPr="00C52259">
        <w:t xml:space="preserve">. </w:t>
      </w:r>
      <w:r>
        <w:t>We will develop graphic tools to com</w:t>
      </w:r>
      <w:r w:rsidR="00CC33B6" w:rsidRPr="00C52259">
        <w:t xml:space="preserve">pare </w:t>
      </w:r>
      <w:r>
        <w:t>these</w:t>
      </w:r>
      <w:r w:rsidR="00F678E5" w:rsidRPr="00C52259">
        <w:t xml:space="preserve"> results across </w:t>
      </w:r>
      <w:r w:rsidR="00F678E5" w:rsidRPr="00C52259">
        <w:lastRenderedPageBreak/>
        <w:t>scenario</w:t>
      </w:r>
      <w:r>
        <w:t>s to address the following types of questions:</w:t>
      </w:r>
      <w:r w:rsidR="00CC33B6" w:rsidRPr="00C52259">
        <w:t xml:space="preserve"> </w:t>
      </w:r>
      <w:r w:rsidR="00F678E5" w:rsidRPr="00C52259">
        <w:t>Is the marginal cost curve different between regions?</w:t>
      </w:r>
      <w:r w:rsidR="00CC33B6" w:rsidRPr="00C52259">
        <w:t xml:space="preserve"> What can we say in general about</w:t>
      </w:r>
      <w:r w:rsidR="00F678E5" w:rsidRPr="00C52259">
        <w:t xml:space="preserve"> hourly prices from E</w:t>
      </w:r>
      <w:r w:rsidR="00B87441">
        <w:t>leMod</w:t>
      </w:r>
      <w:r w:rsidR="00F678E5" w:rsidRPr="00C52259">
        <w:t xml:space="preserve">? </w:t>
      </w:r>
      <w:r w:rsidR="00CC33B6" w:rsidRPr="00C52259">
        <w:t>Does RPS increase or decrease peak vs average prices?</w:t>
      </w:r>
      <w:r w:rsidR="00FF37FE" w:rsidRPr="00C52259">
        <w:t xml:space="preserve"> </w:t>
      </w:r>
    </w:p>
    <w:p w14:paraId="46E92AA7" w14:textId="77777777" w:rsidR="00E44452" w:rsidRPr="00BE410B" w:rsidRDefault="00E6575D" w:rsidP="007434C9">
      <w:pPr>
        <w:pStyle w:val="Heading1"/>
      </w:pPr>
      <w:r w:rsidRPr="00BE410B">
        <w:t>Results</w:t>
      </w:r>
    </w:p>
    <w:p w14:paraId="64688150" w14:textId="174C3F37" w:rsidR="001D514D" w:rsidRDefault="001D514D" w:rsidP="001D514D">
      <w:pPr>
        <w:pStyle w:val="Caption"/>
      </w:pPr>
      <w:r>
        <w:fldChar w:fldCharType="begin"/>
      </w:r>
      <w:r>
        <w:instrText xml:space="preserve"> REF _Ref11823607 \h </w:instrText>
      </w:r>
      <w:r>
        <w:fldChar w:fldCharType="separate"/>
      </w:r>
      <w:r w:rsidR="0001274A">
        <w:t xml:space="preserve">Figure </w:t>
      </w:r>
      <w:r w:rsidR="0001274A">
        <w:rPr>
          <w:noProof/>
        </w:rPr>
        <w:t>4</w:t>
      </w:r>
      <w:r>
        <w:fldChar w:fldCharType="end"/>
      </w:r>
      <w:r>
        <w:t xml:space="preserve"> provides </w:t>
      </w:r>
      <w:r w:rsidRPr="00910DCF">
        <w:t xml:space="preserve">total installed capacity (GW) by technology </w:t>
      </w:r>
      <w:r>
        <w:t>for the US in the Ref, RPS20, RPS40 and RPS50 cases for the 2020-2050 timeframe. We observe that higher RPS requirements promote the expansion of mostly wind and solar. Although storage (represented by pumped hydro, PHS) is a technology that we did not include as a RPS eligible resource, we note that PHS also increases with more stringent goals. The incorporation of more intermittent and variable resources like wind and solar into the</w:t>
      </w:r>
      <w:r w:rsidR="00E90745">
        <w:t xml:space="preserve"> electric</w:t>
      </w:r>
      <w:r>
        <w:t xml:space="preserve"> power system requires also the incorporation of flexibly technologies, like storage, that can enable a smoother hour-by-hour operation in terms of ramping capabilities and operational reserves, both essential to cope with highly variable net demands. Also, the share of capacity of wind and solar combined is higher relative to RPS requirement (in terms of generation) because their capacity factors </w:t>
      </w:r>
      <w:r w:rsidR="00E90745">
        <w:t>are</w:t>
      </w:r>
      <w:r>
        <w:t xml:space="preserve"> normally below 40%</w:t>
      </w:r>
      <w:r>
        <w:rPr>
          <w:rStyle w:val="FootnoteReference"/>
        </w:rPr>
        <w:footnoteReference w:id="6"/>
      </w:r>
      <w:r>
        <w:t>, which lowers even more when considering curtailments in the system. We also note that nuclear and coal technologies are phased out over time, and gas and oil-based technologies keep an important share as they are still required by the system for supplying electricity and for short-term operational reserves and regional long-term reliability requirements.</w:t>
      </w:r>
    </w:p>
    <w:p w14:paraId="1835D6D2" w14:textId="77777777" w:rsidR="001D514D" w:rsidRDefault="001D514D" w:rsidP="001D514D">
      <w:pPr>
        <w:keepNext/>
        <w:jc w:val="center"/>
      </w:pPr>
      <w:r w:rsidRPr="00321AE2">
        <w:rPr>
          <w:noProof/>
          <w:lang w:eastAsia="zh-CN"/>
        </w:rPr>
        <w:drawing>
          <wp:inline distT="0" distB="0" distL="0" distR="0" wp14:anchorId="0D84E003" wp14:editId="3D929D45">
            <wp:extent cx="5943600" cy="270368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703682"/>
                    </a:xfrm>
                    <a:prstGeom prst="rect">
                      <a:avLst/>
                    </a:prstGeom>
                    <a:noFill/>
                    <a:ln>
                      <a:noFill/>
                    </a:ln>
                  </pic:spPr>
                </pic:pic>
              </a:graphicData>
            </a:graphic>
          </wp:inline>
        </w:drawing>
      </w:r>
    </w:p>
    <w:p w14:paraId="647EFA52" w14:textId="3CF16FAC" w:rsidR="001D514D" w:rsidRDefault="001D514D" w:rsidP="00BF7927">
      <w:pPr>
        <w:pStyle w:val="CaptionFig"/>
      </w:pPr>
      <w:bookmarkStart w:id="4" w:name="_Ref11823607"/>
      <w:r>
        <w:t xml:space="preserve">Figure </w:t>
      </w:r>
      <w:fldSimple w:instr=" SEQ Figure \* ARABIC ">
        <w:r w:rsidR="003A1D5B">
          <w:rPr>
            <w:noProof/>
          </w:rPr>
          <w:t>4</w:t>
        </w:r>
      </w:fldSimple>
      <w:bookmarkEnd w:id="4"/>
      <w:r>
        <w:t xml:space="preserve">: Cumulative Installed Capacity [GW] for the US per Technology for Ref, RPS20, RPS40 and RPS50 cases </w:t>
      </w:r>
    </w:p>
    <w:p w14:paraId="7656194A" w14:textId="6A9434C4" w:rsidR="001D514D" w:rsidRDefault="001D514D" w:rsidP="001D514D">
      <w:pPr>
        <w:rPr>
          <w:b/>
        </w:rPr>
      </w:pPr>
      <w:r>
        <w:fldChar w:fldCharType="begin"/>
      </w:r>
      <w:r>
        <w:instrText xml:space="preserve"> REF _Ref11823642 \h </w:instrText>
      </w:r>
      <w:r>
        <w:fldChar w:fldCharType="separate"/>
      </w:r>
      <w:r w:rsidR="008D6287">
        <w:t xml:space="preserve">Figure </w:t>
      </w:r>
      <w:r w:rsidR="008D6287">
        <w:rPr>
          <w:noProof/>
        </w:rPr>
        <w:t>5</w:t>
      </w:r>
      <w:r>
        <w:fldChar w:fldCharType="end"/>
      </w:r>
      <w:r>
        <w:t xml:space="preserve"> provides annual</w:t>
      </w:r>
      <w:r w:rsidRPr="00910DCF">
        <w:t xml:space="preserve"> </w:t>
      </w:r>
      <w:r>
        <w:t>generation</w:t>
      </w:r>
      <w:r w:rsidRPr="00910DCF">
        <w:t xml:space="preserve"> (GW</w:t>
      </w:r>
      <w:r>
        <w:t>h.yr</w:t>
      </w:r>
      <w:r w:rsidRPr="00910DCF">
        <w:t xml:space="preserve">) by technology </w:t>
      </w:r>
      <w:r>
        <w:t xml:space="preserve">for the US in the Ref, RPS20, RPS40 and RPS50 cases for the analyzed time horizon. Aggregated RPS share by 2050 is approximately 30%, 40%, 50%, 60% for each case respectively, and levels of curtailments of wind and solar </w:t>
      </w:r>
      <w:r>
        <w:lastRenderedPageBreak/>
        <w:t>represent more than 10% (up to 18%) of the electricity produced by 2050. Nuclear and coal electricity production decreases over time, while oil-based technologies are used mostly during peaking hours with a very low capacity factor, below 8% considering all scenarios. Gas technologies still play a key role, although i</w:t>
      </w:r>
      <w:r w:rsidR="00965254">
        <w:t>n</w:t>
      </w:r>
      <w:r>
        <w:t xml:space="preserve"> scenarios with high RPS requirements their generation share decreases over time from 30% in 2020 to less than 25% by 2050, and capacity factor</w:t>
      </w:r>
      <w:r w:rsidR="00965254">
        <w:t>s</w:t>
      </w:r>
      <w:r>
        <w:t xml:space="preserve"> close at or less than 40%.</w:t>
      </w:r>
    </w:p>
    <w:p w14:paraId="60153599" w14:textId="77777777" w:rsidR="001D514D" w:rsidRDefault="001D514D" w:rsidP="001D514D">
      <w:pPr>
        <w:keepNext/>
        <w:jc w:val="center"/>
      </w:pPr>
      <w:r w:rsidRPr="003802F4">
        <w:rPr>
          <w:noProof/>
          <w:lang w:eastAsia="zh-CN"/>
        </w:rPr>
        <w:drawing>
          <wp:inline distT="0" distB="0" distL="0" distR="0" wp14:anchorId="3CA8332A" wp14:editId="1BBF9698">
            <wp:extent cx="5943600" cy="270368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703682"/>
                    </a:xfrm>
                    <a:prstGeom prst="rect">
                      <a:avLst/>
                    </a:prstGeom>
                    <a:noFill/>
                    <a:ln>
                      <a:noFill/>
                    </a:ln>
                  </pic:spPr>
                </pic:pic>
              </a:graphicData>
            </a:graphic>
          </wp:inline>
        </w:drawing>
      </w:r>
    </w:p>
    <w:p w14:paraId="28B62964" w14:textId="2B9C19DD" w:rsidR="001D514D" w:rsidRDefault="001D514D" w:rsidP="00BF7927">
      <w:pPr>
        <w:pStyle w:val="CaptionFig"/>
      </w:pPr>
      <w:bookmarkStart w:id="5" w:name="_Ref11823642"/>
      <w:r>
        <w:t xml:space="preserve">Figure </w:t>
      </w:r>
      <w:fldSimple w:instr=" SEQ Figure \* ARABIC ">
        <w:r w:rsidR="003A1D5B">
          <w:rPr>
            <w:noProof/>
          </w:rPr>
          <w:t>5</w:t>
        </w:r>
      </w:fldSimple>
      <w:bookmarkEnd w:id="5"/>
      <w:r>
        <w:t>: E</w:t>
      </w:r>
      <w:r w:rsidRPr="004827D8">
        <w:t xml:space="preserve">volution path of the </w:t>
      </w:r>
      <w:r>
        <w:t>generation</w:t>
      </w:r>
      <w:r w:rsidRPr="004827D8">
        <w:t xml:space="preserve"> mix </w:t>
      </w:r>
      <w:r>
        <w:t xml:space="preserve">[GWh.yr] for the US per Technology for Ref, RPS20, RPS40 and RPS50 cases </w:t>
      </w:r>
    </w:p>
    <w:p w14:paraId="43CFBC41" w14:textId="3E0F55BC" w:rsidR="00965254" w:rsidRDefault="001D514D" w:rsidP="001D514D">
      <w:r w:rsidRPr="001961EA">
        <w:t>Our integrated model</w:t>
      </w:r>
      <w:r>
        <w:t xml:space="preserve"> has the capability to simulat</w:t>
      </w:r>
      <w:r w:rsidR="00F56E26">
        <w:t>e regional results. Al</w:t>
      </w:r>
      <w:r>
        <w:t>though we model</w:t>
      </w:r>
      <w:r w:rsidR="00965254">
        <w:t>ed</w:t>
      </w:r>
      <w:r>
        <w:t xml:space="preserve"> 12 regions, </w:t>
      </w:r>
      <w:r>
        <w:fldChar w:fldCharType="begin"/>
      </w:r>
      <w:r>
        <w:instrText xml:space="preserve"> REF _Ref11839533 \h </w:instrText>
      </w:r>
      <w:r>
        <w:fldChar w:fldCharType="separate"/>
      </w:r>
      <w:r w:rsidR="003A1D5B">
        <w:t xml:space="preserve">Figure </w:t>
      </w:r>
      <w:r w:rsidR="003A1D5B">
        <w:rPr>
          <w:noProof/>
        </w:rPr>
        <w:t>6</w:t>
      </w:r>
      <w:r>
        <w:fldChar w:fldCharType="end"/>
      </w:r>
      <w:r>
        <w:t xml:space="preserve"> and </w:t>
      </w:r>
      <w:r>
        <w:fldChar w:fldCharType="begin"/>
      </w:r>
      <w:r>
        <w:instrText xml:space="preserve"> REF _Ref11839534 \h </w:instrText>
      </w:r>
      <w:r>
        <w:fldChar w:fldCharType="separate"/>
      </w:r>
      <w:r w:rsidR="003A1D5B">
        <w:t xml:space="preserve">Figure </w:t>
      </w:r>
      <w:r w:rsidR="003A1D5B">
        <w:rPr>
          <w:noProof/>
        </w:rPr>
        <w:t>7</w:t>
      </w:r>
      <w:r>
        <w:fldChar w:fldCharType="end"/>
      </w:r>
      <w:r>
        <w:t xml:space="preserve"> show the evolution overtime of the generation mix for only New England (NENGL) and California (CA) in order to highl</w:t>
      </w:r>
      <w:r w:rsidR="006F3DA3">
        <w:t>ight</w:t>
      </w:r>
      <w:r>
        <w:t xml:space="preserve"> the impacts of RPS policies on regions </w:t>
      </w:r>
      <w:r w:rsidR="006F3DA3">
        <w:t xml:space="preserve">with </w:t>
      </w:r>
      <w:r>
        <w:t xml:space="preserve">diverse resources. CA has more solar resources than NENGL which in addition to wind maxing out </w:t>
      </w:r>
      <w:r w:rsidR="00131206">
        <w:t xml:space="preserve">its </w:t>
      </w:r>
      <w:r>
        <w:t>resource limit</w:t>
      </w:r>
      <w:r w:rsidR="003A1D5B">
        <w:t xml:space="preserve"> by 2030</w:t>
      </w:r>
      <w:r>
        <w:t xml:space="preserve">, solar </w:t>
      </w:r>
      <w:r w:rsidR="00965254">
        <w:t>becomes</w:t>
      </w:r>
      <w:r>
        <w:t xml:space="preserve"> heavily used to reach RPS goals (</w:t>
      </w:r>
      <w:r w:rsidR="00F91E22">
        <w:t>60%, 80%, 100%, 100% for each case by 2050 as shown in</w:t>
      </w:r>
      <w:r w:rsidR="008E10EB">
        <w:t xml:space="preserve"> Appendix C</w:t>
      </w:r>
      <w:r w:rsidR="00151FBE">
        <w:t>.</w:t>
      </w:r>
      <w:r>
        <w:t xml:space="preserve"> We note similar trend in NENGL</w:t>
      </w:r>
      <w:r w:rsidR="003A1D5B">
        <w:t xml:space="preserve"> where</w:t>
      </w:r>
      <w:r w:rsidR="00131206">
        <w:t xml:space="preserve"> solar dramatically increases after year 2040 when wind reaches it maximum potential</w:t>
      </w:r>
      <w:r w:rsidR="009801B6">
        <w:t>. In addition, nuclear and coal generation are almost completely phased out by the end of the time period.</w:t>
      </w:r>
      <w:r w:rsidR="00B81F1E">
        <w:t xml:space="preserve"> In </w:t>
      </w:r>
      <w:r w:rsidR="00826CEA">
        <w:t>b</w:t>
      </w:r>
      <w:r w:rsidR="00B81F1E">
        <w:t xml:space="preserve">oth regions, we observe </w:t>
      </w:r>
      <w:r w:rsidR="00492E41">
        <w:t xml:space="preserve">both </w:t>
      </w:r>
      <w:r w:rsidR="00B81F1E">
        <w:t>gas technolo</w:t>
      </w:r>
      <w:r w:rsidR="00492E41">
        <w:t xml:space="preserve">gies and </w:t>
      </w:r>
      <w:r w:rsidR="00F941D3">
        <w:t>inter-</w:t>
      </w:r>
      <w:r w:rsidR="00492E41">
        <w:t>regional power trading</w:t>
      </w:r>
      <w:r w:rsidR="0077456A">
        <w:rPr>
          <w:rStyle w:val="FootnoteReference"/>
        </w:rPr>
        <w:footnoteReference w:id="7"/>
      </w:r>
      <w:r w:rsidR="0077456A">
        <w:t xml:space="preserve"> </w:t>
      </w:r>
      <w:r w:rsidR="00492E41">
        <w:t>to play a significant role in the integration of intermittent renewables.</w:t>
      </w:r>
      <w:r w:rsidR="00F941D3">
        <w:t xml:space="preserve"> This would suggest that much of the electricity generated by gas technologies is either being used for trading to neighboring regions and used to charge storage systems that could be </w:t>
      </w:r>
      <w:r w:rsidR="00965254">
        <w:t xml:space="preserve">later </w:t>
      </w:r>
      <w:r w:rsidR="00F941D3">
        <w:t>used to match imbalances between demand and wind and solar.</w:t>
      </w:r>
    </w:p>
    <w:p w14:paraId="6249AD19" w14:textId="77777777" w:rsidR="001D514D" w:rsidRDefault="001D514D" w:rsidP="001D514D">
      <w:pPr>
        <w:jc w:val="left"/>
      </w:pPr>
      <w:r w:rsidRPr="003802F4">
        <w:rPr>
          <w:noProof/>
          <w:lang w:eastAsia="zh-CN"/>
        </w:rPr>
        <w:lastRenderedPageBreak/>
        <w:drawing>
          <wp:inline distT="0" distB="0" distL="0" distR="0" wp14:anchorId="200111DF" wp14:editId="64176AE1">
            <wp:extent cx="5943600" cy="270368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703682"/>
                    </a:xfrm>
                    <a:prstGeom prst="rect">
                      <a:avLst/>
                    </a:prstGeom>
                    <a:noFill/>
                    <a:ln>
                      <a:noFill/>
                    </a:ln>
                  </pic:spPr>
                </pic:pic>
              </a:graphicData>
            </a:graphic>
          </wp:inline>
        </w:drawing>
      </w:r>
    </w:p>
    <w:p w14:paraId="3F8279B7" w14:textId="769DF048" w:rsidR="001D514D" w:rsidRPr="003802F4" w:rsidRDefault="001D514D" w:rsidP="00BF7927">
      <w:pPr>
        <w:pStyle w:val="CaptionFig"/>
      </w:pPr>
      <w:bookmarkStart w:id="6" w:name="_Ref11839533"/>
      <w:r>
        <w:t xml:space="preserve">Figure </w:t>
      </w:r>
      <w:fldSimple w:instr=" SEQ Figure \* ARABIC ">
        <w:r w:rsidR="003A1D5B">
          <w:rPr>
            <w:noProof/>
          </w:rPr>
          <w:t>6</w:t>
        </w:r>
      </w:fldSimple>
      <w:bookmarkEnd w:id="6"/>
      <w:r>
        <w:t xml:space="preserve">: </w:t>
      </w:r>
      <w:r w:rsidRPr="003802F4">
        <w:t xml:space="preserve">Generation [GWh.yr] for </w:t>
      </w:r>
      <w:r>
        <w:t xml:space="preserve">New England </w:t>
      </w:r>
      <w:r w:rsidRPr="003802F4">
        <w:t>per Technology for Ref, RPS20, RPS40 and RPS50 cases</w:t>
      </w:r>
    </w:p>
    <w:p w14:paraId="0B842EF6" w14:textId="77777777" w:rsidR="001D514D" w:rsidRDefault="001D514D" w:rsidP="001D514D">
      <w:pPr>
        <w:keepNext/>
        <w:jc w:val="center"/>
      </w:pPr>
      <w:r w:rsidRPr="003525E2">
        <w:rPr>
          <w:noProof/>
          <w:lang w:eastAsia="zh-CN"/>
        </w:rPr>
        <w:drawing>
          <wp:inline distT="0" distB="0" distL="0" distR="0" wp14:anchorId="716C35E4" wp14:editId="5F5C6B34">
            <wp:extent cx="5943600" cy="270368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703682"/>
                    </a:xfrm>
                    <a:prstGeom prst="rect">
                      <a:avLst/>
                    </a:prstGeom>
                    <a:noFill/>
                    <a:ln>
                      <a:noFill/>
                    </a:ln>
                  </pic:spPr>
                </pic:pic>
              </a:graphicData>
            </a:graphic>
          </wp:inline>
        </w:drawing>
      </w:r>
    </w:p>
    <w:p w14:paraId="690A3FCC" w14:textId="1320D741" w:rsidR="001D514D" w:rsidRDefault="001D514D" w:rsidP="00BF7927">
      <w:pPr>
        <w:pStyle w:val="CaptionFig"/>
      </w:pPr>
      <w:bookmarkStart w:id="7" w:name="_Ref11839534"/>
      <w:r>
        <w:t xml:space="preserve">Figure </w:t>
      </w:r>
      <w:fldSimple w:instr=" SEQ Figure \* ARABIC ">
        <w:r w:rsidR="003A1D5B">
          <w:rPr>
            <w:noProof/>
          </w:rPr>
          <w:t>7</w:t>
        </w:r>
      </w:fldSimple>
      <w:bookmarkEnd w:id="7"/>
      <w:r>
        <w:t>:</w:t>
      </w:r>
      <w:r w:rsidRPr="003525E2">
        <w:t xml:space="preserve"> Generation [GWh.yr] for </w:t>
      </w:r>
      <w:r>
        <w:t>California</w:t>
      </w:r>
      <w:r w:rsidRPr="003525E2">
        <w:t xml:space="preserve"> per Technology for Ref, RPS20, RPS40 and RPS50 cases</w:t>
      </w:r>
    </w:p>
    <w:p w14:paraId="56BB2DD6" w14:textId="4973C727" w:rsidR="003A1D5B" w:rsidRDefault="003A1D5B" w:rsidP="003A1D5B">
      <w:r>
        <w:t>Figure 7 also illustrates the potentially perverse results of requiring that extremely high percentages of electricity demand be satisf</w:t>
      </w:r>
      <w:r w:rsidR="00C90A73">
        <w:t xml:space="preserve">ied from intermittent sources. </w:t>
      </w:r>
      <w:r>
        <w:t xml:space="preserve">In both New England and California, when annual RPS goals are set at 90% and 100%, natural gas continues to be used as a generation fuel. Likewise, conventional hydro and nuclear generation that does not count </w:t>
      </w:r>
      <w:r w:rsidR="00AC0762">
        <w:t xml:space="preserve">toward the RPS goal continues. </w:t>
      </w:r>
      <w:r>
        <w:t>In both regions, with 100% RPS goals, natural gas and the other nonqualifying still constitute about 20% of generation by 2048.</w:t>
      </w:r>
    </w:p>
    <w:p w14:paraId="65DA470D" w14:textId="629DA011" w:rsidR="003A1D5B" w:rsidRDefault="003A1D5B" w:rsidP="003A1D5B">
      <w:r>
        <w:lastRenderedPageBreak/>
        <w:t>The reason for this anomaly is that in some hours, the stochastic nature of wind and solar availability means that there will not be enough generation from these sources to meet demand.  Natural gas is burned in the backup combined cycle genera</w:t>
      </w:r>
      <w:r w:rsidR="00937F04">
        <w:t xml:space="preserve">ting capacity to fill the gap. </w:t>
      </w:r>
      <w:r>
        <w:t>Pump hydro storage is also utilized, but it is not a resource that can be ramped up to meet high frequency variations in renewable supply.</w:t>
      </w:r>
    </w:p>
    <w:p w14:paraId="3E150D41" w14:textId="3CB73270" w:rsidR="003A1D5B" w:rsidRDefault="003A1D5B" w:rsidP="00FD6689">
      <w:pPr>
        <w:pStyle w:val="Caption"/>
      </w:pPr>
      <w:r>
        <w:t xml:space="preserve">A typical hour in which demand exceeds solar and wind capacity, requiring use of natural gas, is shown in </w:t>
      </w:r>
      <w:r>
        <w:fldChar w:fldCharType="begin"/>
      </w:r>
      <w:r>
        <w:instrText xml:space="preserve"> REF _Ref11875065 \h </w:instrText>
      </w:r>
      <w:r>
        <w:fldChar w:fldCharType="separate"/>
      </w:r>
      <w:r>
        <w:t xml:space="preserve">Figure </w:t>
      </w:r>
      <w:r>
        <w:rPr>
          <w:noProof/>
        </w:rPr>
        <w:t>8</w:t>
      </w:r>
      <w:r>
        <w:fldChar w:fldCharType="end"/>
      </w:r>
      <w:r w:rsidR="00FD6689">
        <w:t xml:space="preserve">, i.e., the hour 4400, 4420, 4440, 4520, 4540, etc.  </w:t>
      </w:r>
    </w:p>
    <w:p w14:paraId="33881DC2" w14:textId="5F0FEFF1" w:rsidR="003A1D5B" w:rsidRDefault="006A0A84" w:rsidP="003A1D5B">
      <w:r>
        <w:rPr>
          <w:noProof/>
          <w:lang w:eastAsia="zh-CN"/>
        </w:rPr>
        <w:drawing>
          <wp:inline distT="0" distB="0" distL="0" distR="0" wp14:anchorId="73187347" wp14:editId="545A7532">
            <wp:extent cx="5943600" cy="3404449"/>
            <wp:effectExtent l="0" t="0" r="0" b="5715"/>
            <wp:docPr id="13" name="Picture 13" descr="cid:image003.png@01D526E3.80BF9A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3.png@01D526E3.80BF9AD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943600" cy="3404449"/>
                    </a:xfrm>
                    <a:prstGeom prst="rect">
                      <a:avLst/>
                    </a:prstGeom>
                    <a:noFill/>
                    <a:ln>
                      <a:noFill/>
                    </a:ln>
                  </pic:spPr>
                </pic:pic>
              </a:graphicData>
            </a:graphic>
          </wp:inline>
        </w:drawing>
      </w:r>
    </w:p>
    <w:p w14:paraId="02DF87D7" w14:textId="3FBD17C2" w:rsidR="003A1D5B" w:rsidRDefault="003A1D5B" w:rsidP="003A1D5B">
      <w:pPr>
        <w:pStyle w:val="Caption"/>
      </w:pPr>
      <w:bookmarkStart w:id="8" w:name="_Ref11875065"/>
      <w:r>
        <w:t xml:space="preserve">Figure </w:t>
      </w:r>
      <w:fldSimple w:instr=" SEQ Figure \* ARABIC ">
        <w:r>
          <w:rPr>
            <w:noProof/>
          </w:rPr>
          <w:t>8</w:t>
        </w:r>
      </w:fldSimple>
      <w:bookmarkEnd w:id="8"/>
      <w:r>
        <w:t>:</w:t>
      </w:r>
      <w:r w:rsidR="006A0A84">
        <w:t xml:space="preserve"> Hourly Electricity Generation vs. Electricity Demand and Electricity Trade in CA (July 2050) under the RPS50a scenario </w:t>
      </w:r>
      <w:r w:rsidR="006579AB">
        <w:t>[GWh.hour</w:t>
      </w:r>
      <w:r w:rsidR="006579AB" w:rsidRPr="003525E2">
        <w:t>]</w:t>
      </w:r>
    </w:p>
    <w:p w14:paraId="48AA5134" w14:textId="2B365377" w:rsidR="003A1D5B" w:rsidRDefault="003A1D5B" w:rsidP="003A1D5B">
      <w:r>
        <w:t>Both regions reach their limits on wind generation well before 2048, so that incremental renewable capacity mus</w:t>
      </w:r>
      <w:r w:rsidR="00FD6689">
        <w:t>t be solar.</w:t>
      </w:r>
      <w:r>
        <w:t xml:space="preserve"> The USREP model finds a less costly means of meeting a 100% RPS goal than building additional solar and storage capacity to meet demand in all hours with renewables.  Just as there are some hours when solar and wind generation reach their maximum before all demand is satisfied, there are other hours when solar and wind generation exceeds total demand.  By using the excess to charge pump storage, the excess wind and solar generation is disposed of without harm to the system and counts toward the RPS goal.</w:t>
      </w:r>
    </w:p>
    <w:p w14:paraId="3DB1F728" w14:textId="205947B9" w:rsidR="003A1D5B" w:rsidRDefault="003A1D5B" w:rsidP="003A1D5B">
      <w:r>
        <w:t>A typical hour in which wind and solar exceed demand, leading to zero generation from natural gas and an increase in pump storage equal to exce</w:t>
      </w:r>
      <w:r w:rsidR="00FD6689">
        <w:t xml:space="preserve">ss supply, is shown in </w:t>
      </w:r>
      <w:r w:rsidR="00FD6689">
        <w:fldChar w:fldCharType="begin"/>
      </w:r>
      <w:r w:rsidR="00FD6689">
        <w:instrText xml:space="preserve"> REF _Ref11875065 \h </w:instrText>
      </w:r>
      <w:r w:rsidR="00FD6689">
        <w:fldChar w:fldCharType="separate"/>
      </w:r>
      <w:r w:rsidR="00FD6689">
        <w:t xml:space="preserve">Figure </w:t>
      </w:r>
      <w:r w:rsidR="00FD6689">
        <w:rPr>
          <w:noProof/>
        </w:rPr>
        <w:t>8</w:t>
      </w:r>
      <w:r w:rsidR="00FD6689">
        <w:fldChar w:fldCharType="end"/>
      </w:r>
      <w:r>
        <w:t xml:space="preserve"> as well.</w:t>
      </w:r>
      <w:r w:rsidR="00FD6689">
        <w:t xml:space="preserve"> There are a handful </w:t>
      </w:r>
      <w:r w:rsidR="001C7C28">
        <w:t xml:space="preserve">of </w:t>
      </w:r>
      <w:r w:rsidR="00FD6689">
        <w:t xml:space="preserve">hours that can </w:t>
      </w:r>
      <w:r w:rsidR="001C7C28">
        <w:t>demonstrate the case. For example, in hour 4360, part of the excess supply of solar and wind generation is used to charge pump hydro storage and the rest is exported.</w:t>
      </w:r>
    </w:p>
    <w:p w14:paraId="6F638C53" w14:textId="77777777" w:rsidR="003A1D5B" w:rsidRDefault="003A1D5B" w:rsidP="003A1D5B"/>
    <w:p w14:paraId="590B4157" w14:textId="7700061D" w:rsidR="003A1D5B" w:rsidRDefault="003A1D5B" w:rsidP="003A1D5B">
      <w:r>
        <w:lastRenderedPageBreak/>
        <w:t xml:space="preserve">This can be seen in the otherwise inexplicable increase in charging of pump storage from 2032 – 2048 as the RPS goal ramps up to 100%.  Thus we see that in 2048, total wind and solar generation exactly </w:t>
      </w:r>
      <w:r w:rsidR="008802D3">
        <w:t xml:space="preserve">equals demand in both regions. </w:t>
      </w:r>
      <w:r>
        <w:t>Both must burn some natural gas in some hours to meet demand, which without the opportunity to “store” renewable generation permanently in pump storage would make it impossible for wind and so</w:t>
      </w:r>
      <w:r w:rsidR="008802D3">
        <w:t xml:space="preserve">lar to satisfy 100% of demand. </w:t>
      </w:r>
      <w:r>
        <w:t>The increase in pump storage is just enough to “ground out” the excess generation of wind and solar, thus allowing the meters at the generating units to report enough generation to meet the 100% goal.</w:t>
      </w:r>
    </w:p>
    <w:p w14:paraId="0388E166" w14:textId="77777777" w:rsidR="003A1D5B" w:rsidRDefault="003A1D5B" w:rsidP="003A1D5B">
      <w:r>
        <w:t>The RPS scenarios being covered for this paper have considered only wind and solar as technologies being eligible resources, and we have not made technology specific differentiations at regional level. Also, we have not specified storage to be co-located with a particular technology nor specific technology to be used for power trading, so this might be the reason why we observe gas to still have a relevant portion of the final generation mix.</w:t>
      </w:r>
    </w:p>
    <w:p w14:paraId="493E6A4C" w14:textId="14569A6F" w:rsidR="001D514D" w:rsidRDefault="008657D2" w:rsidP="001D514D">
      <w:pPr>
        <w:rPr>
          <w:iCs/>
          <w:color w:val="000000" w:themeColor="text1"/>
          <w:szCs w:val="18"/>
        </w:rPr>
      </w:pPr>
      <w:r>
        <w:rPr>
          <w:iCs/>
          <w:color w:val="000000" w:themeColor="text1"/>
          <w:szCs w:val="18"/>
        </w:rPr>
        <w:fldChar w:fldCharType="begin"/>
      </w:r>
      <w:r>
        <w:rPr>
          <w:iCs/>
          <w:color w:val="000000" w:themeColor="text1"/>
          <w:szCs w:val="18"/>
        </w:rPr>
        <w:instrText xml:space="preserve"> REF _Ref11850824 \h </w:instrText>
      </w:r>
      <w:r>
        <w:rPr>
          <w:iCs/>
          <w:color w:val="000000" w:themeColor="text1"/>
          <w:szCs w:val="18"/>
        </w:rPr>
      </w:r>
      <w:r>
        <w:rPr>
          <w:iCs/>
          <w:color w:val="000000" w:themeColor="text1"/>
          <w:szCs w:val="18"/>
        </w:rPr>
        <w:fldChar w:fldCharType="separate"/>
      </w:r>
      <w:r w:rsidR="00EE1514" w:rsidRPr="00BF7927">
        <w:t xml:space="preserve">Figure </w:t>
      </w:r>
      <w:r w:rsidR="00EE1514">
        <w:rPr>
          <w:noProof/>
        </w:rPr>
        <w:t>9</w:t>
      </w:r>
      <w:r>
        <w:rPr>
          <w:iCs/>
          <w:color w:val="000000" w:themeColor="text1"/>
          <w:szCs w:val="18"/>
        </w:rPr>
        <w:fldChar w:fldCharType="end"/>
      </w:r>
      <w:r>
        <w:rPr>
          <w:iCs/>
          <w:color w:val="000000" w:themeColor="text1"/>
          <w:szCs w:val="18"/>
        </w:rPr>
        <w:t xml:space="preserve"> depicts the annual average marginal </w:t>
      </w:r>
      <w:r w:rsidR="00F35C54">
        <w:rPr>
          <w:iCs/>
          <w:color w:val="000000" w:themeColor="text1"/>
          <w:szCs w:val="18"/>
        </w:rPr>
        <w:t>price</w:t>
      </w:r>
      <w:r>
        <w:rPr>
          <w:iCs/>
          <w:color w:val="000000" w:themeColor="text1"/>
          <w:szCs w:val="18"/>
        </w:rPr>
        <w:t xml:space="preserve"> for generation ($/MWh) for New England and California for the Ref case and all scenario cases.</w:t>
      </w:r>
      <w:r w:rsidR="0026280E">
        <w:rPr>
          <w:iCs/>
          <w:color w:val="000000" w:themeColor="text1"/>
          <w:szCs w:val="18"/>
        </w:rPr>
        <w:t xml:space="preserve"> </w:t>
      </w:r>
      <w:r w:rsidR="00103C97">
        <w:rPr>
          <w:iCs/>
          <w:color w:val="000000" w:themeColor="text1"/>
          <w:szCs w:val="18"/>
        </w:rPr>
        <w:t>W</w:t>
      </w:r>
      <w:r w:rsidR="00103C97" w:rsidRPr="00F35C54">
        <w:rPr>
          <w:iCs/>
          <w:color w:val="000000" w:themeColor="text1"/>
          <w:szCs w:val="18"/>
        </w:rPr>
        <w:t xml:space="preserve">holesale </w:t>
      </w:r>
      <w:r w:rsidR="00103C97">
        <w:rPr>
          <w:iCs/>
          <w:color w:val="000000" w:themeColor="text1"/>
          <w:szCs w:val="18"/>
        </w:rPr>
        <w:t>p</w:t>
      </w:r>
      <w:r w:rsidR="00F35C54" w:rsidRPr="00F35C54">
        <w:rPr>
          <w:iCs/>
          <w:color w:val="000000" w:themeColor="text1"/>
          <w:szCs w:val="18"/>
        </w:rPr>
        <w:t xml:space="preserve">rices in </w:t>
      </w:r>
      <w:r w:rsidR="00103C97">
        <w:rPr>
          <w:iCs/>
          <w:color w:val="000000" w:themeColor="text1"/>
          <w:szCs w:val="18"/>
        </w:rPr>
        <w:t>our</w:t>
      </w:r>
      <w:r w:rsidR="00F35C54" w:rsidRPr="00F35C54">
        <w:rPr>
          <w:iCs/>
          <w:color w:val="000000" w:themeColor="text1"/>
          <w:szCs w:val="18"/>
        </w:rPr>
        <w:t xml:space="preserve"> </w:t>
      </w:r>
      <w:r w:rsidR="00103C97">
        <w:rPr>
          <w:iCs/>
          <w:color w:val="000000" w:themeColor="text1"/>
          <w:szCs w:val="18"/>
        </w:rPr>
        <w:t>BU model are</w:t>
      </w:r>
      <w:r w:rsidR="00F35C54" w:rsidRPr="00F35C54">
        <w:rPr>
          <w:iCs/>
          <w:color w:val="000000" w:themeColor="text1"/>
          <w:szCs w:val="18"/>
        </w:rPr>
        <w:t xml:space="preserve"> </w:t>
      </w:r>
      <w:r w:rsidR="00103C97">
        <w:rPr>
          <w:iCs/>
          <w:color w:val="000000" w:themeColor="text1"/>
          <w:szCs w:val="18"/>
        </w:rPr>
        <w:t>determined</w:t>
      </w:r>
      <w:r w:rsidR="00F35C54" w:rsidRPr="00F35C54">
        <w:rPr>
          <w:iCs/>
          <w:color w:val="000000" w:themeColor="text1"/>
          <w:szCs w:val="18"/>
        </w:rPr>
        <w:t xml:space="preserve"> on an hourly basis</w:t>
      </w:r>
      <w:r w:rsidR="00103C97">
        <w:rPr>
          <w:iCs/>
          <w:color w:val="000000" w:themeColor="text1"/>
          <w:szCs w:val="18"/>
        </w:rPr>
        <w:t xml:space="preserve">, and then aggregated to </w:t>
      </w:r>
      <w:r w:rsidR="00103C97" w:rsidRPr="00103C97">
        <w:rPr>
          <w:iCs/>
          <w:color w:val="000000" w:themeColor="text1"/>
          <w:szCs w:val="18"/>
        </w:rPr>
        <w:t>the annual average weighted by electricity</w:t>
      </w:r>
      <w:r w:rsidR="00103C97">
        <w:rPr>
          <w:iCs/>
          <w:color w:val="000000" w:themeColor="text1"/>
          <w:szCs w:val="18"/>
        </w:rPr>
        <w:t xml:space="preserve"> load in the region. </w:t>
      </w:r>
      <w:r w:rsidR="00627701">
        <w:rPr>
          <w:iCs/>
          <w:color w:val="000000" w:themeColor="text1"/>
          <w:szCs w:val="18"/>
        </w:rPr>
        <w:t xml:space="preserve">We observe that </w:t>
      </w:r>
      <w:r w:rsidR="00E2369F">
        <w:rPr>
          <w:iCs/>
          <w:color w:val="000000" w:themeColor="text1"/>
          <w:szCs w:val="18"/>
        </w:rPr>
        <w:t>CA has in general higher prices that N</w:t>
      </w:r>
      <w:r w:rsidR="00CE1E7D">
        <w:rPr>
          <w:iCs/>
          <w:color w:val="000000" w:themeColor="text1"/>
          <w:szCs w:val="18"/>
        </w:rPr>
        <w:t>ENGL a</w:t>
      </w:r>
      <w:r w:rsidR="00E2369F">
        <w:rPr>
          <w:iCs/>
          <w:color w:val="000000" w:themeColor="text1"/>
          <w:szCs w:val="18"/>
        </w:rPr>
        <w:t xml:space="preserve">s demand levels </w:t>
      </w:r>
      <w:r w:rsidR="00CE1E7D">
        <w:rPr>
          <w:iCs/>
          <w:color w:val="000000" w:themeColor="text1"/>
          <w:szCs w:val="18"/>
        </w:rPr>
        <w:t xml:space="preserve">are higher (especially during summer) </w:t>
      </w:r>
      <w:r w:rsidR="00F35C54">
        <w:rPr>
          <w:iCs/>
          <w:color w:val="000000" w:themeColor="text1"/>
          <w:szCs w:val="18"/>
        </w:rPr>
        <w:t xml:space="preserve">and </w:t>
      </w:r>
      <w:r w:rsidR="00F35C54" w:rsidRPr="00F35C54">
        <w:rPr>
          <w:iCs/>
          <w:color w:val="000000" w:themeColor="text1"/>
          <w:szCs w:val="18"/>
        </w:rPr>
        <w:t xml:space="preserve">existing capacity limits on transmission </w:t>
      </w:r>
      <w:r w:rsidR="00F35C54">
        <w:rPr>
          <w:iCs/>
          <w:color w:val="000000" w:themeColor="text1"/>
          <w:szCs w:val="18"/>
        </w:rPr>
        <w:t>reduce</w:t>
      </w:r>
      <w:r w:rsidR="00F35C54" w:rsidRPr="00F35C54">
        <w:rPr>
          <w:iCs/>
          <w:color w:val="000000" w:themeColor="text1"/>
          <w:szCs w:val="18"/>
        </w:rPr>
        <w:t xml:space="preserve"> </w:t>
      </w:r>
      <w:r w:rsidR="00F35C54">
        <w:rPr>
          <w:iCs/>
          <w:color w:val="000000" w:themeColor="text1"/>
          <w:szCs w:val="18"/>
        </w:rPr>
        <w:t xml:space="preserve">trade from regions with lower prices. The </w:t>
      </w:r>
      <w:r w:rsidR="00627701">
        <w:rPr>
          <w:iCs/>
          <w:color w:val="000000" w:themeColor="text1"/>
          <w:szCs w:val="18"/>
        </w:rPr>
        <w:t xml:space="preserve">general </w:t>
      </w:r>
      <w:r w:rsidR="00F35C54">
        <w:rPr>
          <w:iCs/>
          <w:color w:val="000000" w:themeColor="text1"/>
          <w:szCs w:val="18"/>
        </w:rPr>
        <w:t xml:space="preserve">trend in all policy cases shows a decline of the average marginal prices mostly because </w:t>
      </w:r>
      <w:r w:rsidR="00627701">
        <w:rPr>
          <w:iCs/>
          <w:color w:val="000000" w:themeColor="text1"/>
          <w:szCs w:val="18"/>
        </w:rPr>
        <w:t xml:space="preserve">of </w:t>
      </w:r>
      <w:r w:rsidR="00F35C54">
        <w:rPr>
          <w:iCs/>
          <w:color w:val="000000" w:themeColor="text1"/>
          <w:szCs w:val="18"/>
        </w:rPr>
        <w:t>the enforcement of wind and solar resources</w:t>
      </w:r>
      <w:r w:rsidR="00627701">
        <w:rPr>
          <w:iCs/>
          <w:color w:val="000000" w:themeColor="text1"/>
          <w:szCs w:val="18"/>
        </w:rPr>
        <w:t>,</w:t>
      </w:r>
      <w:r w:rsidR="00F35C54">
        <w:rPr>
          <w:iCs/>
          <w:color w:val="000000" w:themeColor="text1"/>
          <w:szCs w:val="18"/>
        </w:rPr>
        <w:t xml:space="preserve"> with zero or negligent variable costs. </w:t>
      </w:r>
      <w:r w:rsidR="00EE5F90">
        <w:rPr>
          <w:iCs/>
          <w:color w:val="000000" w:themeColor="text1"/>
          <w:szCs w:val="18"/>
        </w:rPr>
        <w:t xml:space="preserve">The tighter the RPS policy, the higher the price decline. </w:t>
      </w:r>
      <w:r w:rsidR="00F35C54">
        <w:rPr>
          <w:iCs/>
          <w:color w:val="000000" w:themeColor="text1"/>
          <w:szCs w:val="18"/>
        </w:rPr>
        <w:t>The price drop indicates that there is increasing number of hours during the year with zero (or negative) marginal prices</w:t>
      </w:r>
      <w:r w:rsidR="00627701">
        <w:rPr>
          <w:iCs/>
          <w:color w:val="000000" w:themeColor="text1"/>
          <w:szCs w:val="18"/>
        </w:rPr>
        <w:t>, due to curtailments or periods with generation technologies at their minimum technical load</w:t>
      </w:r>
      <w:r w:rsidR="00EE5F90">
        <w:rPr>
          <w:iCs/>
          <w:color w:val="000000" w:themeColor="text1"/>
          <w:szCs w:val="18"/>
        </w:rPr>
        <w:t xml:space="preserve"> -- </w:t>
      </w:r>
      <w:r w:rsidR="00627701">
        <w:rPr>
          <w:iCs/>
          <w:color w:val="000000" w:themeColor="text1"/>
          <w:szCs w:val="18"/>
        </w:rPr>
        <w:t xml:space="preserve">hence not being able to accommodate wind or solar production. </w:t>
      </w:r>
    </w:p>
    <w:p w14:paraId="7FB9996E" w14:textId="000DEED2" w:rsidR="001D514D" w:rsidRDefault="001D514D" w:rsidP="001D514D">
      <w:pPr>
        <w:keepNext/>
      </w:pPr>
      <w:r w:rsidRPr="009764C0">
        <w:rPr>
          <w:noProof/>
          <w:lang w:eastAsia="zh-CN"/>
        </w:rPr>
        <w:lastRenderedPageBreak/>
        <w:drawing>
          <wp:inline distT="0" distB="0" distL="0" distR="0" wp14:anchorId="48D4218B" wp14:editId="0D17A0A0">
            <wp:extent cx="5943600" cy="2699588"/>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699588"/>
                    </a:xfrm>
                    <a:prstGeom prst="rect">
                      <a:avLst/>
                    </a:prstGeom>
                    <a:noFill/>
                    <a:ln>
                      <a:noFill/>
                    </a:ln>
                  </pic:spPr>
                </pic:pic>
              </a:graphicData>
            </a:graphic>
          </wp:inline>
        </w:drawing>
      </w:r>
    </w:p>
    <w:p w14:paraId="0E400388" w14:textId="4C8A0AE7" w:rsidR="001D514D" w:rsidRPr="00BF7927" w:rsidRDefault="001D514D" w:rsidP="00BF7927">
      <w:pPr>
        <w:pStyle w:val="CaptionFig"/>
      </w:pPr>
      <w:bookmarkStart w:id="9" w:name="_Ref11850824"/>
      <w:r w:rsidRPr="00BF7927">
        <w:t xml:space="preserve">Figure </w:t>
      </w:r>
      <w:fldSimple w:instr=" SEQ Figure \* ARABIC ">
        <w:r w:rsidR="00EE1514">
          <w:rPr>
            <w:noProof/>
          </w:rPr>
          <w:t>9</w:t>
        </w:r>
      </w:fldSimple>
      <w:bookmarkEnd w:id="9"/>
      <w:r w:rsidRPr="00BF7927">
        <w:t>: Annual Average Marginal Costs for Generation [$/MWh] for California and New England</w:t>
      </w:r>
    </w:p>
    <w:p w14:paraId="7A80C2BE" w14:textId="17F29A0D" w:rsidR="001D514D" w:rsidRDefault="00627701" w:rsidP="00627701">
      <w:r>
        <w:fldChar w:fldCharType="begin"/>
      </w:r>
      <w:r>
        <w:instrText xml:space="preserve"> REF _Ref11854782 \h </w:instrText>
      </w:r>
      <w:r>
        <w:fldChar w:fldCharType="separate"/>
      </w:r>
      <w:r w:rsidR="00EE1514">
        <w:t xml:space="preserve">Figure </w:t>
      </w:r>
      <w:r w:rsidR="00EE1514">
        <w:rPr>
          <w:noProof/>
        </w:rPr>
        <w:t>10</w:t>
      </w:r>
      <w:r>
        <w:fldChar w:fldCharType="end"/>
      </w:r>
      <w:r>
        <w:t xml:space="preserve"> compares </w:t>
      </w:r>
      <w:r w:rsidR="00E02881">
        <w:t>the annual a</w:t>
      </w:r>
      <w:r w:rsidRPr="00627701">
        <w:t xml:space="preserve">verage </w:t>
      </w:r>
      <w:r w:rsidR="00E02881">
        <w:t>m</w:t>
      </w:r>
      <w:r w:rsidRPr="00627701">
        <w:t xml:space="preserve">arginal </w:t>
      </w:r>
      <w:r w:rsidR="00E02881">
        <w:t>c</w:t>
      </w:r>
      <w:r w:rsidRPr="00627701">
        <w:t xml:space="preserve">osts associated to </w:t>
      </w:r>
      <w:r w:rsidR="00E02881">
        <w:t>the various RPS targets</w:t>
      </w:r>
      <w:r w:rsidR="00752542">
        <w:t xml:space="preserve"> for New England and California</w:t>
      </w:r>
      <w:r w:rsidR="00E02881">
        <w:t>.</w:t>
      </w:r>
      <w:r w:rsidR="00B06812">
        <w:t xml:space="preserve"> </w:t>
      </w:r>
      <w:r w:rsidR="00752542">
        <w:t>For both regions w</w:t>
      </w:r>
      <w:r w:rsidR="00B06812">
        <w:t>e observe that</w:t>
      </w:r>
      <w:r w:rsidR="00752542">
        <w:t xml:space="preserve"> costs increase as the RPS target gets more stringent</w:t>
      </w:r>
      <w:r w:rsidR="008C3601">
        <w:t>, and</w:t>
      </w:r>
      <w:r w:rsidR="000801D9">
        <w:t xml:space="preserve"> NENGL ha</w:t>
      </w:r>
      <w:r w:rsidR="00715E90">
        <w:t>s</w:t>
      </w:r>
      <w:r w:rsidR="000801D9">
        <w:t xml:space="preserve"> a lower RPS compliance cost compared to that in CA for the Ref case and for </w:t>
      </w:r>
      <w:r w:rsidR="001F2B79">
        <w:t xml:space="preserve">those </w:t>
      </w:r>
      <w:r w:rsidR="000801D9">
        <w:t>year</w:t>
      </w:r>
      <w:r w:rsidR="001F2B79">
        <w:t>s</w:t>
      </w:r>
      <w:r w:rsidR="000801D9">
        <w:t xml:space="preserve"> before the RPS targe</w:t>
      </w:r>
      <w:r w:rsidR="001F2B79">
        <w:t>t reach</w:t>
      </w:r>
      <w:r w:rsidR="00715E90">
        <w:t>es</w:t>
      </w:r>
      <w:r w:rsidR="001F2B79">
        <w:t xml:space="preserve"> 60% of its electricity demand.</w:t>
      </w:r>
      <w:r w:rsidR="0006450B">
        <w:t xml:space="preserve"> </w:t>
      </w:r>
      <w:r w:rsidR="00AC05A7">
        <w:t xml:space="preserve">As NENGL needs to rely more in solar generation (wind has maxed out his resource potential), results would suggest that this technology would make the system to incur in additional costs because of its low capacity factor and lower correlation with demand in the region. </w:t>
      </w:r>
      <w:r w:rsidR="0006450B">
        <w:t xml:space="preserve"> </w:t>
      </w:r>
    </w:p>
    <w:p w14:paraId="38BBEAC2" w14:textId="77777777" w:rsidR="001D514D" w:rsidRDefault="001D514D" w:rsidP="001D514D">
      <w:pPr>
        <w:keepNext/>
      </w:pPr>
      <w:r w:rsidRPr="0026296E">
        <w:rPr>
          <w:noProof/>
          <w:lang w:eastAsia="zh-CN"/>
        </w:rPr>
        <w:lastRenderedPageBreak/>
        <w:drawing>
          <wp:inline distT="0" distB="0" distL="0" distR="0" wp14:anchorId="7789A1FF" wp14:editId="7618BA5B">
            <wp:extent cx="5943600" cy="2703682"/>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703682"/>
                    </a:xfrm>
                    <a:prstGeom prst="rect">
                      <a:avLst/>
                    </a:prstGeom>
                    <a:noFill/>
                    <a:ln>
                      <a:noFill/>
                    </a:ln>
                  </pic:spPr>
                </pic:pic>
              </a:graphicData>
            </a:graphic>
          </wp:inline>
        </w:drawing>
      </w:r>
    </w:p>
    <w:p w14:paraId="1C29F882" w14:textId="0891CFBA" w:rsidR="001D514D" w:rsidRDefault="001D514D" w:rsidP="001D514D">
      <w:pPr>
        <w:pStyle w:val="Caption"/>
      </w:pPr>
      <w:bookmarkStart w:id="10" w:name="_Ref11854782"/>
      <w:r>
        <w:t xml:space="preserve">Figure </w:t>
      </w:r>
      <w:fldSimple w:instr=" SEQ Figure \* ARABIC ">
        <w:r w:rsidR="00EE1514">
          <w:rPr>
            <w:noProof/>
          </w:rPr>
          <w:t>10</w:t>
        </w:r>
      </w:fldSimple>
      <w:bookmarkEnd w:id="10"/>
      <w:r>
        <w:t xml:space="preserve">: </w:t>
      </w:r>
      <w:r w:rsidRPr="0026296E">
        <w:t xml:space="preserve">Annual Average Marginal Costs associated to RPS goals [$/MWh] </w:t>
      </w:r>
      <w:r>
        <w:t xml:space="preserve">for </w:t>
      </w:r>
      <w:r w:rsidRPr="003525E2">
        <w:t>Ref, RPS20, RPS40 and RPS50 cases</w:t>
      </w:r>
      <w:r w:rsidRPr="0026296E">
        <w:t xml:space="preserve"> for California and New England</w:t>
      </w:r>
    </w:p>
    <w:p w14:paraId="691ECAD3" w14:textId="29A717BE" w:rsidR="001C0A9D" w:rsidRPr="00B1587B" w:rsidRDefault="00AA23C9" w:rsidP="00B1587B">
      <w:r>
        <w:t>As s</w:t>
      </w:r>
      <w:r w:rsidR="00B1230E">
        <w:t xml:space="preserve">tronger RPS targets </w:t>
      </w:r>
      <w:r>
        <w:t xml:space="preserve">drive up </w:t>
      </w:r>
      <w:r w:rsidR="00860938">
        <w:t>the wholesale electricity prices</w:t>
      </w:r>
      <w:r>
        <w:t>, the</w:t>
      </w:r>
      <w:r w:rsidR="00FA2C86">
        <w:t xml:space="preserve"> delivered elec</w:t>
      </w:r>
      <w:r w:rsidR="00767DEA">
        <w:t xml:space="preserve">tricity prices </w:t>
      </w:r>
      <w:r>
        <w:t xml:space="preserve">increase as well </w:t>
      </w:r>
      <w:r w:rsidR="00767DEA">
        <w:t xml:space="preserve">for most regions (see </w:t>
      </w:r>
      <w:r w:rsidR="00767DEA">
        <w:fldChar w:fldCharType="begin"/>
      </w:r>
      <w:r w:rsidR="00767DEA">
        <w:instrText xml:space="preserve"> REF _Ref11791414 \h </w:instrText>
      </w:r>
      <w:r w:rsidR="00767DEA">
        <w:fldChar w:fldCharType="separate"/>
      </w:r>
      <w:r w:rsidR="008D6287">
        <w:t xml:space="preserve">Table </w:t>
      </w:r>
      <w:r w:rsidR="008D6287">
        <w:rPr>
          <w:noProof/>
        </w:rPr>
        <w:t>1</w:t>
      </w:r>
      <w:r w:rsidR="00767DEA">
        <w:fldChar w:fldCharType="end"/>
      </w:r>
      <w:r>
        <w:t xml:space="preserve">). </w:t>
      </w:r>
      <w:r w:rsidR="004B21F8">
        <w:t>Price impacts</w:t>
      </w:r>
      <w:r>
        <w:t xml:space="preserve"> are </w:t>
      </w:r>
      <w:r w:rsidR="004B21F8">
        <w:t xml:space="preserve">relative larger </w:t>
      </w:r>
      <w:r>
        <w:t xml:space="preserve">in </w:t>
      </w:r>
      <w:r w:rsidR="00E20E67">
        <w:t>the regions with ambitious existing RPS targets, i.e. CA, NY, NENGL.</w:t>
      </w:r>
    </w:p>
    <w:p w14:paraId="738A28DD" w14:textId="63D57C96" w:rsidR="0076746F" w:rsidRDefault="0076746F" w:rsidP="0076746F">
      <w:pPr>
        <w:pStyle w:val="Caption"/>
      </w:pPr>
      <w:bookmarkStart w:id="11" w:name="_Ref11791414"/>
      <w:r>
        <w:t xml:space="preserve">Table </w:t>
      </w:r>
      <w:fldSimple w:instr=" SEQ Table \* ARABIC ">
        <w:r w:rsidR="008D6287">
          <w:rPr>
            <w:noProof/>
          </w:rPr>
          <w:t>1</w:t>
        </w:r>
      </w:fldSimple>
      <w:bookmarkEnd w:id="11"/>
      <w:r>
        <w:t xml:space="preserve">: Delivered Electricity Price </w:t>
      </w:r>
      <w:r w:rsidR="00860938">
        <w:t xml:space="preserve">to the Service Sector </w:t>
      </w:r>
      <w:r>
        <w:t>(percent change from the reference level)</w:t>
      </w:r>
    </w:p>
    <w:tbl>
      <w:tblPr>
        <w:tblStyle w:val="TableGrid"/>
        <w:tblW w:w="80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720"/>
        <w:gridCol w:w="720"/>
        <w:gridCol w:w="720"/>
        <w:gridCol w:w="309"/>
        <w:gridCol w:w="719"/>
        <w:gridCol w:w="719"/>
        <w:gridCol w:w="719"/>
        <w:gridCol w:w="309"/>
        <w:gridCol w:w="719"/>
        <w:gridCol w:w="719"/>
        <w:gridCol w:w="719"/>
      </w:tblGrid>
      <w:tr w:rsidR="008C29DE" w:rsidRPr="00566DD1" w14:paraId="4C91A5E2" w14:textId="77777777" w:rsidTr="00566DD1">
        <w:trPr>
          <w:trHeight w:hRule="exact" w:val="432"/>
          <w:jc w:val="center"/>
        </w:trPr>
        <w:tc>
          <w:tcPr>
            <w:tcW w:w="1006" w:type="dxa"/>
            <w:tcBorders>
              <w:top w:val="thinThickSmallGap" w:sz="18" w:space="0" w:color="auto"/>
            </w:tcBorders>
            <w:vAlign w:val="center"/>
          </w:tcPr>
          <w:p w14:paraId="1186B964" w14:textId="77777777" w:rsidR="00F74473" w:rsidRPr="00566DD1" w:rsidRDefault="00F74473" w:rsidP="008C29DE">
            <w:pPr>
              <w:jc w:val="center"/>
              <w:rPr>
                <w:rFonts w:asciiTheme="minorHAnsi" w:hAnsiTheme="minorHAnsi" w:cstheme="minorHAnsi"/>
                <w:b/>
              </w:rPr>
            </w:pPr>
          </w:p>
        </w:tc>
        <w:tc>
          <w:tcPr>
            <w:tcW w:w="2160" w:type="dxa"/>
            <w:gridSpan w:val="3"/>
            <w:tcBorders>
              <w:top w:val="thinThickSmallGap" w:sz="18" w:space="0" w:color="auto"/>
              <w:bottom w:val="single" w:sz="2" w:space="0" w:color="auto"/>
            </w:tcBorders>
            <w:vAlign w:val="center"/>
          </w:tcPr>
          <w:p w14:paraId="6510FBD5" w14:textId="7EE5F9F9" w:rsidR="00F74473" w:rsidRPr="00566DD1" w:rsidRDefault="00566DD1" w:rsidP="00566DD1">
            <w:pPr>
              <w:jc w:val="center"/>
              <w:rPr>
                <w:rFonts w:asciiTheme="minorHAnsi" w:hAnsiTheme="minorHAnsi" w:cstheme="minorHAnsi"/>
                <w:b/>
              </w:rPr>
            </w:pPr>
            <w:r>
              <w:rPr>
                <w:rFonts w:asciiTheme="minorHAnsi" w:hAnsiTheme="minorHAnsi" w:cstheme="minorHAnsi"/>
                <w:b/>
              </w:rPr>
              <w:t>r</w:t>
            </w:r>
            <w:r w:rsidR="00F74473" w:rsidRPr="00566DD1">
              <w:rPr>
                <w:rFonts w:asciiTheme="minorHAnsi" w:hAnsiTheme="minorHAnsi" w:cstheme="minorHAnsi"/>
                <w:b/>
              </w:rPr>
              <w:t>ps</w:t>
            </w:r>
            <w:r w:rsidRPr="00566DD1">
              <w:rPr>
                <w:rFonts w:asciiTheme="minorHAnsi" w:hAnsiTheme="minorHAnsi" w:cstheme="minorHAnsi"/>
                <w:b/>
              </w:rPr>
              <w:t>2</w:t>
            </w:r>
            <w:r w:rsidR="00F74473" w:rsidRPr="00566DD1">
              <w:rPr>
                <w:rFonts w:asciiTheme="minorHAnsi" w:hAnsiTheme="minorHAnsi" w:cstheme="minorHAnsi"/>
                <w:b/>
              </w:rPr>
              <w:t>0a</w:t>
            </w:r>
          </w:p>
        </w:tc>
        <w:tc>
          <w:tcPr>
            <w:tcW w:w="309" w:type="dxa"/>
            <w:tcBorders>
              <w:top w:val="thinThickSmallGap" w:sz="18" w:space="0" w:color="auto"/>
            </w:tcBorders>
            <w:vAlign w:val="center"/>
          </w:tcPr>
          <w:p w14:paraId="0DBC1257" w14:textId="77777777" w:rsidR="00F74473" w:rsidRPr="00566DD1" w:rsidRDefault="00F74473" w:rsidP="008C29DE">
            <w:pPr>
              <w:jc w:val="center"/>
              <w:rPr>
                <w:rFonts w:asciiTheme="minorHAnsi" w:hAnsiTheme="minorHAnsi" w:cstheme="minorHAnsi"/>
                <w:b/>
              </w:rPr>
            </w:pPr>
          </w:p>
        </w:tc>
        <w:tc>
          <w:tcPr>
            <w:tcW w:w="2157" w:type="dxa"/>
            <w:gridSpan w:val="3"/>
            <w:tcBorders>
              <w:top w:val="thinThickSmallGap" w:sz="18" w:space="0" w:color="auto"/>
              <w:bottom w:val="single" w:sz="2" w:space="0" w:color="auto"/>
            </w:tcBorders>
            <w:vAlign w:val="center"/>
          </w:tcPr>
          <w:p w14:paraId="3637CFE4" w14:textId="406CE116" w:rsidR="00F74473" w:rsidRPr="00566DD1" w:rsidRDefault="00566DD1" w:rsidP="008C29DE">
            <w:pPr>
              <w:jc w:val="center"/>
              <w:rPr>
                <w:rFonts w:asciiTheme="minorHAnsi" w:hAnsiTheme="minorHAnsi" w:cstheme="minorHAnsi"/>
                <w:b/>
              </w:rPr>
            </w:pPr>
            <w:r>
              <w:rPr>
                <w:rFonts w:asciiTheme="minorHAnsi" w:hAnsiTheme="minorHAnsi" w:cstheme="minorHAnsi"/>
                <w:b/>
              </w:rPr>
              <w:t>r</w:t>
            </w:r>
            <w:r w:rsidRPr="00566DD1">
              <w:rPr>
                <w:rFonts w:asciiTheme="minorHAnsi" w:hAnsiTheme="minorHAnsi" w:cstheme="minorHAnsi"/>
                <w:b/>
              </w:rPr>
              <w:t>ps4</w:t>
            </w:r>
            <w:r w:rsidR="00F74473" w:rsidRPr="00566DD1">
              <w:rPr>
                <w:rFonts w:asciiTheme="minorHAnsi" w:hAnsiTheme="minorHAnsi" w:cstheme="minorHAnsi"/>
                <w:b/>
              </w:rPr>
              <w:t>0a</w:t>
            </w:r>
          </w:p>
        </w:tc>
        <w:tc>
          <w:tcPr>
            <w:tcW w:w="309" w:type="dxa"/>
            <w:tcBorders>
              <w:top w:val="thinThickSmallGap" w:sz="18" w:space="0" w:color="auto"/>
            </w:tcBorders>
            <w:vAlign w:val="center"/>
          </w:tcPr>
          <w:p w14:paraId="19F83FFB" w14:textId="77777777" w:rsidR="00F74473" w:rsidRPr="00566DD1" w:rsidRDefault="00F74473" w:rsidP="008C29DE">
            <w:pPr>
              <w:jc w:val="center"/>
              <w:rPr>
                <w:rFonts w:asciiTheme="minorHAnsi" w:hAnsiTheme="minorHAnsi" w:cstheme="minorHAnsi"/>
              </w:rPr>
            </w:pPr>
          </w:p>
        </w:tc>
        <w:tc>
          <w:tcPr>
            <w:tcW w:w="2157" w:type="dxa"/>
            <w:gridSpan w:val="3"/>
            <w:tcBorders>
              <w:top w:val="thinThickSmallGap" w:sz="18" w:space="0" w:color="auto"/>
              <w:bottom w:val="single" w:sz="2" w:space="0" w:color="auto"/>
            </w:tcBorders>
            <w:vAlign w:val="center"/>
          </w:tcPr>
          <w:p w14:paraId="5F153B52" w14:textId="04B7CB20" w:rsidR="00F74473" w:rsidRPr="00566DD1" w:rsidRDefault="00F74473" w:rsidP="008C29DE">
            <w:pPr>
              <w:jc w:val="center"/>
              <w:rPr>
                <w:rFonts w:asciiTheme="minorHAnsi" w:hAnsiTheme="minorHAnsi" w:cstheme="minorHAnsi"/>
                <w:b/>
              </w:rPr>
            </w:pPr>
            <w:r w:rsidRPr="00566DD1">
              <w:rPr>
                <w:rFonts w:asciiTheme="minorHAnsi" w:hAnsiTheme="minorHAnsi" w:cstheme="minorHAnsi"/>
                <w:b/>
              </w:rPr>
              <w:t>rps50a</w:t>
            </w:r>
          </w:p>
        </w:tc>
      </w:tr>
      <w:tr w:rsidR="008C29DE" w:rsidRPr="00566DD1" w14:paraId="205C92A9" w14:textId="77777777" w:rsidTr="00566DD1">
        <w:trPr>
          <w:trHeight w:hRule="exact" w:val="288"/>
          <w:jc w:val="center"/>
        </w:trPr>
        <w:tc>
          <w:tcPr>
            <w:tcW w:w="1006" w:type="dxa"/>
            <w:tcBorders>
              <w:bottom w:val="single" w:sz="4" w:space="0" w:color="auto"/>
            </w:tcBorders>
            <w:vAlign w:val="center"/>
          </w:tcPr>
          <w:p w14:paraId="0A95BAED" w14:textId="77777777" w:rsidR="00F74473" w:rsidRPr="00566DD1" w:rsidRDefault="00F74473" w:rsidP="00F74473">
            <w:pPr>
              <w:rPr>
                <w:rFonts w:asciiTheme="minorHAnsi" w:hAnsiTheme="minorHAnsi" w:cstheme="minorHAnsi"/>
                <w:sz w:val="20"/>
              </w:rPr>
            </w:pPr>
          </w:p>
        </w:tc>
        <w:tc>
          <w:tcPr>
            <w:tcW w:w="720" w:type="dxa"/>
            <w:tcBorders>
              <w:top w:val="single" w:sz="2" w:space="0" w:color="auto"/>
              <w:bottom w:val="single" w:sz="4" w:space="0" w:color="auto"/>
            </w:tcBorders>
            <w:vAlign w:val="center"/>
          </w:tcPr>
          <w:p w14:paraId="2D30D830" w14:textId="1E52DA80" w:rsidR="00F74473" w:rsidRPr="00566DD1" w:rsidRDefault="00F74473" w:rsidP="00F74473">
            <w:pPr>
              <w:jc w:val="right"/>
              <w:rPr>
                <w:rFonts w:asciiTheme="minorHAnsi" w:hAnsiTheme="minorHAnsi" w:cstheme="minorHAnsi"/>
                <w:sz w:val="20"/>
              </w:rPr>
            </w:pPr>
            <w:r w:rsidRPr="00566DD1">
              <w:rPr>
                <w:rFonts w:asciiTheme="minorHAnsi" w:hAnsiTheme="minorHAnsi" w:cstheme="minorHAnsi"/>
                <w:bCs/>
                <w:color w:val="000000"/>
                <w:sz w:val="20"/>
                <w:szCs w:val="22"/>
              </w:rPr>
              <w:t>2030</w:t>
            </w:r>
          </w:p>
        </w:tc>
        <w:tc>
          <w:tcPr>
            <w:tcW w:w="720" w:type="dxa"/>
            <w:tcBorders>
              <w:top w:val="single" w:sz="2" w:space="0" w:color="auto"/>
              <w:bottom w:val="single" w:sz="4" w:space="0" w:color="auto"/>
            </w:tcBorders>
            <w:vAlign w:val="center"/>
          </w:tcPr>
          <w:p w14:paraId="45E264DB" w14:textId="6B952EF3" w:rsidR="00F74473" w:rsidRPr="00566DD1" w:rsidRDefault="00F74473" w:rsidP="00F74473">
            <w:pPr>
              <w:jc w:val="right"/>
              <w:rPr>
                <w:rFonts w:asciiTheme="minorHAnsi" w:hAnsiTheme="minorHAnsi" w:cstheme="minorHAnsi"/>
                <w:sz w:val="20"/>
              </w:rPr>
            </w:pPr>
            <w:r w:rsidRPr="00566DD1">
              <w:rPr>
                <w:rFonts w:asciiTheme="minorHAnsi" w:hAnsiTheme="minorHAnsi" w:cstheme="minorHAnsi"/>
                <w:bCs/>
                <w:color w:val="000000"/>
                <w:sz w:val="20"/>
                <w:szCs w:val="22"/>
              </w:rPr>
              <w:t>2040</w:t>
            </w:r>
          </w:p>
        </w:tc>
        <w:tc>
          <w:tcPr>
            <w:tcW w:w="720" w:type="dxa"/>
            <w:tcBorders>
              <w:top w:val="single" w:sz="2" w:space="0" w:color="auto"/>
              <w:bottom w:val="single" w:sz="4" w:space="0" w:color="auto"/>
            </w:tcBorders>
            <w:vAlign w:val="center"/>
          </w:tcPr>
          <w:p w14:paraId="194400F9" w14:textId="553700EF" w:rsidR="00F74473" w:rsidRPr="00566DD1" w:rsidRDefault="00F74473" w:rsidP="00F74473">
            <w:pPr>
              <w:jc w:val="right"/>
              <w:rPr>
                <w:rFonts w:asciiTheme="minorHAnsi" w:hAnsiTheme="minorHAnsi" w:cstheme="minorHAnsi"/>
                <w:sz w:val="20"/>
              </w:rPr>
            </w:pPr>
            <w:r w:rsidRPr="00566DD1">
              <w:rPr>
                <w:rFonts w:asciiTheme="minorHAnsi" w:hAnsiTheme="minorHAnsi" w:cstheme="minorHAnsi"/>
                <w:bCs/>
                <w:color w:val="000000"/>
                <w:sz w:val="20"/>
                <w:szCs w:val="22"/>
              </w:rPr>
              <w:t>2050</w:t>
            </w:r>
          </w:p>
        </w:tc>
        <w:tc>
          <w:tcPr>
            <w:tcW w:w="309" w:type="dxa"/>
            <w:tcBorders>
              <w:bottom w:val="single" w:sz="4" w:space="0" w:color="auto"/>
            </w:tcBorders>
            <w:vAlign w:val="center"/>
          </w:tcPr>
          <w:p w14:paraId="536F1032" w14:textId="77777777" w:rsidR="00F74473" w:rsidRPr="00566DD1" w:rsidRDefault="00F74473" w:rsidP="00F74473">
            <w:pPr>
              <w:jc w:val="right"/>
              <w:rPr>
                <w:rFonts w:asciiTheme="minorHAnsi" w:hAnsiTheme="minorHAnsi" w:cstheme="minorHAnsi"/>
                <w:bCs/>
                <w:color w:val="000000"/>
                <w:sz w:val="20"/>
                <w:szCs w:val="22"/>
              </w:rPr>
            </w:pPr>
          </w:p>
        </w:tc>
        <w:tc>
          <w:tcPr>
            <w:tcW w:w="719" w:type="dxa"/>
            <w:tcBorders>
              <w:top w:val="single" w:sz="2" w:space="0" w:color="auto"/>
              <w:bottom w:val="single" w:sz="4" w:space="0" w:color="auto"/>
            </w:tcBorders>
            <w:vAlign w:val="center"/>
          </w:tcPr>
          <w:p w14:paraId="60E61B02" w14:textId="031839D3" w:rsidR="00F74473" w:rsidRPr="00566DD1" w:rsidRDefault="00F74473" w:rsidP="00F74473">
            <w:pPr>
              <w:jc w:val="right"/>
              <w:rPr>
                <w:rFonts w:asciiTheme="minorHAnsi" w:hAnsiTheme="minorHAnsi" w:cstheme="minorHAnsi"/>
                <w:sz w:val="20"/>
              </w:rPr>
            </w:pPr>
            <w:r w:rsidRPr="00566DD1">
              <w:rPr>
                <w:rFonts w:asciiTheme="minorHAnsi" w:hAnsiTheme="minorHAnsi" w:cstheme="minorHAnsi"/>
                <w:bCs/>
                <w:color w:val="000000"/>
                <w:sz w:val="20"/>
                <w:szCs w:val="22"/>
              </w:rPr>
              <w:t>2030</w:t>
            </w:r>
          </w:p>
        </w:tc>
        <w:tc>
          <w:tcPr>
            <w:tcW w:w="719" w:type="dxa"/>
            <w:tcBorders>
              <w:top w:val="single" w:sz="2" w:space="0" w:color="auto"/>
              <w:bottom w:val="single" w:sz="4" w:space="0" w:color="auto"/>
            </w:tcBorders>
            <w:vAlign w:val="center"/>
          </w:tcPr>
          <w:p w14:paraId="76A711A9" w14:textId="3A167839" w:rsidR="00F74473" w:rsidRPr="00566DD1" w:rsidRDefault="00F74473" w:rsidP="00F74473">
            <w:pPr>
              <w:jc w:val="right"/>
              <w:rPr>
                <w:rFonts w:asciiTheme="minorHAnsi" w:hAnsiTheme="minorHAnsi" w:cstheme="minorHAnsi"/>
                <w:sz w:val="20"/>
              </w:rPr>
            </w:pPr>
            <w:r w:rsidRPr="00566DD1">
              <w:rPr>
                <w:rFonts w:asciiTheme="minorHAnsi" w:hAnsiTheme="minorHAnsi" w:cstheme="minorHAnsi"/>
                <w:bCs/>
                <w:color w:val="000000"/>
                <w:sz w:val="20"/>
                <w:szCs w:val="22"/>
              </w:rPr>
              <w:t>2040</w:t>
            </w:r>
          </w:p>
        </w:tc>
        <w:tc>
          <w:tcPr>
            <w:tcW w:w="719" w:type="dxa"/>
            <w:tcBorders>
              <w:top w:val="single" w:sz="2" w:space="0" w:color="auto"/>
              <w:bottom w:val="single" w:sz="4" w:space="0" w:color="auto"/>
            </w:tcBorders>
            <w:vAlign w:val="center"/>
          </w:tcPr>
          <w:p w14:paraId="025D7CDB" w14:textId="0B0EE46C" w:rsidR="00F74473" w:rsidRPr="00566DD1" w:rsidRDefault="00F74473" w:rsidP="00F74473">
            <w:pPr>
              <w:jc w:val="right"/>
              <w:rPr>
                <w:rFonts w:asciiTheme="minorHAnsi" w:hAnsiTheme="minorHAnsi" w:cstheme="minorHAnsi"/>
                <w:sz w:val="20"/>
              </w:rPr>
            </w:pPr>
            <w:r w:rsidRPr="00566DD1">
              <w:rPr>
                <w:rFonts w:asciiTheme="minorHAnsi" w:hAnsiTheme="minorHAnsi" w:cstheme="minorHAnsi"/>
                <w:bCs/>
                <w:color w:val="000000"/>
                <w:sz w:val="20"/>
                <w:szCs w:val="22"/>
              </w:rPr>
              <w:t>2050</w:t>
            </w:r>
          </w:p>
        </w:tc>
        <w:tc>
          <w:tcPr>
            <w:tcW w:w="309" w:type="dxa"/>
            <w:tcBorders>
              <w:bottom w:val="single" w:sz="4" w:space="0" w:color="auto"/>
            </w:tcBorders>
            <w:vAlign w:val="center"/>
          </w:tcPr>
          <w:p w14:paraId="1F4EF4E1" w14:textId="77777777" w:rsidR="00F74473" w:rsidRPr="00566DD1" w:rsidRDefault="00F74473" w:rsidP="00F74473">
            <w:pPr>
              <w:jc w:val="right"/>
              <w:rPr>
                <w:rFonts w:asciiTheme="minorHAnsi" w:hAnsiTheme="minorHAnsi" w:cstheme="minorHAnsi"/>
                <w:bCs/>
                <w:color w:val="000000"/>
                <w:sz w:val="20"/>
                <w:szCs w:val="22"/>
              </w:rPr>
            </w:pPr>
          </w:p>
        </w:tc>
        <w:tc>
          <w:tcPr>
            <w:tcW w:w="719" w:type="dxa"/>
            <w:tcBorders>
              <w:top w:val="single" w:sz="2" w:space="0" w:color="auto"/>
              <w:bottom w:val="single" w:sz="4" w:space="0" w:color="auto"/>
            </w:tcBorders>
            <w:vAlign w:val="center"/>
          </w:tcPr>
          <w:p w14:paraId="578B85CB" w14:textId="63BB30E0" w:rsidR="00F74473" w:rsidRPr="00566DD1" w:rsidRDefault="00F74473" w:rsidP="00F74473">
            <w:pPr>
              <w:jc w:val="right"/>
              <w:rPr>
                <w:rFonts w:asciiTheme="minorHAnsi" w:hAnsiTheme="minorHAnsi" w:cstheme="minorHAnsi"/>
                <w:sz w:val="20"/>
              </w:rPr>
            </w:pPr>
            <w:r w:rsidRPr="00566DD1">
              <w:rPr>
                <w:rFonts w:asciiTheme="minorHAnsi" w:hAnsiTheme="minorHAnsi" w:cstheme="minorHAnsi"/>
                <w:bCs/>
                <w:color w:val="000000"/>
                <w:sz w:val="20"/>
                <w:szCs w:val="22"/>
              </w:rPr>
              <w:t>2030</w:t>
            </w:r>
          </w:p>
        </w:tc>
        <w:tc>
          <w:tcPr>
            <w:tcW w:w="719" w:type="dxa"/>
            <w:tcBorders>
              <w:top w:val="single" w:sz="2" w:space="0" w:color="auto"/>
              <w:bottom w:val="single" w:sz="4" w:space="0" w:color="auto"/>
            </w:tcBorders>
            <w:vAlign w:val="center"/>
          </w:tcPr>
          <w:p w14:paraId="1E98AB58" w14:textId="08EF0201" w:rsidR="00F74473" w:rsidRPr="00566DD1" w:rsidRDefault="00F74473" w:rsidP="00F74473">
            <w:pPr>
              <w:jc w:val="right"/>
              <w:rPr>
                <w:rFonts w:asciiTheme="minorHAnsi" w:hAnsiTheme="minorHAnsi" w:cstheme="minorHAnsi"/>
                <w:sz w:val="20"/>
              </w:rPr>
            </w:pPr>
            <w:r w:rsidRPr="00566DD1">
              <w:rPr>
                <w:rFonts w:asciiTheme="minorHAnsi" w:hAnsiTheme="minorHAnsi" w:cstheme="minorHAnsi"/>
                <w:bCs/>
                <w:color w:val="000000"/>
                <w:sz w:val="20"/>
                <w:szCs w:val="22"/>
              </w:rPr>
              <w:t>2040</w:t>
            </w:r>
          </w:p>
        </w:tc>
        <w:tc>
          <w:tcPr>
            <w:tcW w:w="719" w:type="dxa"/>
            <w:tcBorders>
              <w:top w:val="single" w:sz="2" w:space="0" w:color="auto"/>
              <w:bottom w:val="single" w:sz="4" w:space="0" w:color="auto"/>
            </w:tcBorders>
            <w:vAlign w:val="center"/>
          </w:tcPr>
          <w:p w14:paraId="61F21D58" w14:textId="542CA90B" w:rsidR="00F74473" w:rsidRPr="00566DD1" w:rsidRDefault="00F74473" w:rsidP="00F74473">
            <w:pPr>
              <w:jc w:val="right"/>
              <w:rPr>
                <w:rFonts w:asciiTheme="minorHAnsi" w:hAnsiTheme="minorHAnsi" w:cstheme="minorHAnsi"/>
                <w:sz w:val="20"/>
              </w:rPr>
            </w:pPr>
            <w:r w:rsidRPr="00566DD1">
              <w:rPr>
                <w:rFonts w:asciiTheme="minorHAnsi" w:hAnsiTheme="minorHAnsi" w:cstheme="minorHAnsi"/>
                <w:bCs/>
                <w:color w:val="000000"/>
                <w:sz w:val="20"/>
                <w:szCs w:val="22"/>
              </w:rPr>
              <w:t>2050</w:t>
            </w:r>
          </w:p>
        </w:tc>
      </w:tr>
      <w:tr w:rsidR="00566DD1" w:rsidRPr="00566DD1" w14:paraId="6E68E991" w14:textId="77777777" w:rsidTr="00566DD1">
        <w:trPr>
          <w:trHeight w:hRule="exact" w:val="288"/>
          <w:jc w:val="center"/>
        </w:trPr>
        <w:tc>
          <w:tcPr>
            <w:tcW w:w="1006" w:type="dxa"/>
            <w:tcBorders>
              <w:top w:val="single" w:sz="4" w:space="0" w:color="auto"/>
            </w:tcBorders>
            <w:vAlign w:val="bottom"/>
          </w:tcPr>
          <w:p w14:paraId="1A732122" w14:textId="276DC429"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AK</w:t>
            </w:r>
          </w:p>
        </w:tc>
        <w:tc>
          <w:tcPr>
            <w:tcW w:w="720" w:type="dxa"/>
            <w:tcBorders>
              <w:top w:val="single" w:sz="4" w:space="0" w:color="auto"/>
            </w:tcBorders>
            <w:vAlign w:val="bottom"/>
          </w:tcPr>
          <w:p w14:paraId="4DCAD09F" w14:textId="5304BF41"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0.1</w:t>
            </w:r>
          </w:p>
        </w:tc>
        <w:tc>
          <w:tcPr>
            <w:tcW w:w="720" w:type="dxa"/>
            <w:tcBorders>
              <w:top w:val="single" w:sz="4" w:space="0" w:color="auto"/>
            </w:tcBorders>
            <w:vAlign w:val="bottom"/>
          </w:tcPr>
          <w:p w14:paraId="78B2313C" w14:textId="7D51C79F"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-0.9</w:t>
            </w:r>
          </w:p>
        </w:tc>
        <w:tc>
          <w:tcPr>
            <w:tcW w:w="720" w:type="dxa"/>
            <w:tcBorders>
              <w:top w:val="single" w:sz="4" w:space="0" w:color="auto"/>
            </w:tcBorders>
            <w:vAlign w:val="bottom"/>
          </w:tcPr>
          <w:p w14:paraId="6717C3F4" w14:textId="2A195D1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-0.9</w:t>
            </w:r>
          </w:p>
        </w:tc>
        <w:tc>
          <w:tcPr>
            <w:tcW w:w="309" w:type="dxa"/>
            <w:tcBorders>
              <w:top w:val="single" w:sz="4" w:space="0" w:color="auto"/>
            </w:tcBorders>
          </w:tcPr>
          <w:p w14:paraId="662BA68E" w14:textId="77777777" w:rsidR="00566DD1" w:rsidRPr="00566DD1" w:rsidRDefault="00566DD1" w:rsidP="00566DD1">
            <w:pPr>
              <w:jc w:val="right"/>
              <w:rPr>
                <w:rFonts w:asciiTheme="minorHAnsi" w:hAnsiTheme="minorHAnsi" w:cstheme="minorHAnsi"/>
                <w:color w:val="000000"/>
                <w:sz w:val="20"/>
                <w:szCs w:val="22"/>
              </w:rPr>
            </w:pPr>
          </w:p>
        </w:tc>
        <w:tc>
          <w:tcPr>
            <w:tcW w:w="719" w:type="dxa"/>
            <w:tcBorders>
              <w:top w:val="single" w:sz="4" w:space="0" w:color="auto"/>
            </w:tcBorders>
            <w:vAlign w:val="bottom"/>
          </w:tcPr>
          <w:p w14:paraId="15C55CE8" w14:textId="0D26613E"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0.5</w:t>
            </w:r>
          </w:p>
        </w:tc>
        <w:tc>
          <w:tcPr>
            <w:tcW w:w="719" w:type="dxa"/>
            <w:tcBorders>
              <w:top w:val="single" w:sz="4" w:space="0" w:color="auto"/>
            </w:tcBorders>
            <w:vAlign w:val="bottom"/>
          </w:tcPr>
          <w:p w14:paraId="4F89EE06" w14:textId="3D7A60CD"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-1.7</w:t>
            </w:r>
          </w:p>
        </w:tc>
        <w:tc>
          <w:tcPr>
            <w:tcW w:w="719" w:type="dxa"/>
            <w:tcBorders>
              <w:top w:val="single" w:sz="4" w:space="0" w:color="auto"/>
            </w:tcBorders>
            <w:vAlign w:val="bottom"/>
          </w:tcPr>
          <w:p w14:paraId="797D296D" w14:textId="301B1266"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-1.1</w:t>
            </w:r>
          </w:p>
        </w:tc>
        <w:tc>
          <w:tcPr>
            <w:tcW w:w="309" w:type="dxa"/>
            <w:tcBorders>
              <w:top w:val="single" w:sz="4" w:space="0" w:color="auto"/>
            </w:tcBorders>
          </w:tcPr>
          <w:p w14:paraId="4CD281AC" w14:textId="77777777" w:rsidR="00566DD1" w:rsidRPr="00566DD1" w:rsidRDefault="00566DD1" w:rsidP="00566DD1">
            <w:pPr>
              <w:jc w:val="right"/>
              <w:rPr>
                <w:rFonts w:asciiTheme="minorHAnsi" w:hAnsiTheme="minorHAnsi" w:cstheme="minorHAnsi"/>
                <w:color w:val="000000"/>
                <w:sz w:val="20"/>
                <w:szCs w:val="22"/>
              </w:rPr>
            </w:pPr>
          </w:p>
        </w:tc>
        <w:tc>
          <w:tcPr>
            <w:tcW w:w="719" w:type="dxa"/>
            <w:tcBorders>
              <w:top w:val="single" w:sz="4" w:space="0" w:color="auto"/>
            </w:tcBorders>
            <w:vAlign w:val="bottom"/>
          </w:tcPr>
          <w:p w14:paraId="51AB4537" w14:textId="5C8E4B48"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0.8</w:t>
            </w:r>
          </w:p>
        </w:tc>
        <w:tc>
          <w:tcPr>
            <w:tcW w:w="719" w:type="dxa"/>
            <w:tcBorders>
              <w:top w:val="single" w:sz="4" w:space="0" w:color="auto"/>
            </w:tcBorders>
            <w:vAlign w:val="bottom"/>
          </w:tcPr>
          <w:p w14:paraId="328B2A52" w14:textId="23553F56"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-1.8</w:t>
            </w:r>
          </w:p>
        </w:tc>
        <w:tc>
          <w:tcPr>
            <w:tcW w:w="719" w:type="dxa"/>
            <w:tcBorders>
              <w:top w:val="single" w:sz="4" w:space="0" w:color="auto"/>
            </w:tcBorders>
            <w:vAlign w:val="bottom"/>
          </w:tcPr>
          <w:p w14:paraId="1FE34F60" w14:textId="7123173E"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-1.1</w:t>
            </w:r>
          </w:p>
        </w:tc>
      </w:tr>
      <w:tr w:rsidR="00566DD1" w:rsidRPr="00566DD1" w14:paraId="07BA11CA" w14:textId="77777777" w:rsidTr="00566DD1">
        <w:trPr>
          <w:trHeight w:hRule="exact" w:val="288"/>
          <w:jc w:val="center"/>
        </w:trPr>
        <w:tc>
          <w:tcPr>
            <w:tcW w:w="1006" w:type="dxa"/>
            <w:vAlign w:val="bottom"/>
          </w:tcPr>
          <w:p w14:paraId="49D55BC2" w14:textId="27676225"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CA</w:t>
            </w:r>
          </w:p>
        </w:tc>
        <w:tc>
          <w:tcPr>
            <w:tcW w:w="720" w:type="dxa"/>
            <w:vAlign w:val="bottom"/>
          </w:tcPr>
          <w:p w14:paraId="192DF387" w14:textId="17ACC399"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3.4</w:t>
            </w:r>
          </w:p>
        </w:tc>
        <w:tc>
          <w:tcPr>
            <w:tcW w:w="720" w:type="dxa"/>
            <w:vAlign w:val="bottom"/>
          </w:tcPr>
          <w:p w14:paraId="12E4318D" w14:textId="6370E75D"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8.0</w:t>
            </w:r>
          </w:p>
        </w:tc>
        <w:tc>
          <w:tcPr>
            <w:tcW w:w="720" w:type="dxa"/>
            <w:vAlign w:val="bottom"/>
          </w:tcPr>
          <w:p w14:paraId="574DA7D7" w14:textId="3A5E10D1"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11.7</w:t>
            </w:r>
          </w:p>
        </w:tc>
        <w:tc>
          <w:tcPr>
            <w:tcW w:w="309" w:type="dxa"/>
          </w:tcPr>
          <w:p w14:paraId="56EE2FB8"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592CD718" w14:textId="4F695119"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7.4</w:t>
            </w:r>
          </w:p>
        </w:tc>
        <w:tc>
          <w:tcPr>
            <w:tcW w:w="719" w:type="dxa"/>
            <w:vAlign w:val="bottom"/>
          </w:tcPr>
          <w:p w14:paraId="28449474" w14:textId="710B577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17.4</w:t>
            </w:r>
          </w:p>
        </w:tc>
        <w:tc>
          <w:tcPr>
            <w:tcW w:w="719" w:type="dxa"/>
            <w:vAlign w:val="bottom"/>
          </w:tcPr>
          <w:p w14:paraId="69FFECB9" w14:textId="27A0575A"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26.2</w:t>
            </w:r>
          </w:p>
        </w:tc>
        <w:tc>
          <w:tcPr>
            <w:tcW w:w="309" w:type="dxa"/>
          </w:tcPr>
          <w:p w14:paraId="30D26362"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1A295318" w14:textId="24056214"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7.5</w:t>
            </w:r>
          </w:p>
        </w:tc>
        <w:tc>
          <w:tcPr>
            <w:tcW w:w="719" w:type="dxa"/>
            <w:vAlign w:val="bottom"/>
          </w:tcPr>
          <w:p w14:paraId="3E658A0C" w14:textId="27B6DA57"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17.4</w:t>
            </w:r>
          </w:p>
        </w:tc>
        <w:tc>
          <w:tcPr>
            <w:tcW w:w="719" w:type="dxa"/>
            <w:vAlign w:val="bottom"/>
          </w:tcPr>
          <w:p w14:paraId="586DCF64" w14:textId="19CF80BC"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26.5</w:t>
            </w:r>
          </w:p>
        </w:tc>
      </w:tr>
      <w:tr w:rsidR="00566DD1" w:rsidRPr="00566DD1" w14:paraId="4FF79BF9" w14:textId="77777777" w:rsidTr="00566DD1">
        <w:trPr>
          <w:trHeight w:hRule="exact" w:val="288"/>
          <w:jc w:val="center"/>
        </w:trPr>
        <w:tc>
          <w:tcPr>
            <w:tcW w:w="1006" w:type="dxa"/>
            <w:vAlign w:val="bottom"/>
          </w:tcPr>
          <w:p w14:paraId="0849196D" w14:textId="43FB910E"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FL</w:t>
            </w:r>
          </w:p>
        </w:tc>
        <w:tc>
          <w:tcPr>
            <w:tcW w:w="720" w:type="dxa"/>
            <w:vAlign w:val="bottom"/>
          </w:tcPr>
          <w:p w14:paraId="7761100F" w14:textId="3C653558"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3.5</w:t>
            </w:r>
          </w:p>
        </w:tc>
        <w:tc>
          <w:tcPr>
            <w:tcW w:w="720" w:type="dxa"/>
            <w:vAlign w:val="bottom"/>
          </w:tcPr>
          <w:p w14:paraId="61B208C2" w14:textId="7E8644C4"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3.1</w:t>
            </w:r>
          </w:p>
        </w:tc>
        <w:tc>
          <w:tcPr>
            <w:tcW w:w="720" w:type="dxa"/>
            <w:vAlign w:val="bottom"/>
          </w:tcPr>
          <w:p w14:paraId="0606D751" w14:textId="767C970F"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1.2</w:t>
            </w:r>
          </w:p>
        </w:tc>
        <w:tc>
          <w:tcPr>
            <w:tcW w:w="309" w:type="dxa"/>
          </w:tcPr>
          <w:p w14:paraId="274BA371"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4F7EF3ED" w14:textId="40A49CD1"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7.2</w:t>
            </w:r>
          </w:p>
        </w:tc>
        <w:tc>
          <w:tcPr>
            <w:tcW w:w="719" w:type="dxa"/>
            <w:vAlign w:val="bottom"/>
          </w:tcPr>
          <w:p w14:paraId="54609919" w14:textId="328CC83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9.5</w:t>
            </w:r>
          </w:p>
        </w:tc>
        <w:tc>
          <w:tcPr>
            <w:tcW w:w="719" w:type="dxa"/>
            <w:vAlign w:val="bottom"/>
          </w:tcPr>
          <w:p w14:paraId="18DE314C" w14:textId="51A5F606"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13.7</w:t>
            </w:r>
          </w:p>
        </w:tc>
        <w:tc>
          <w:tcPr>
            <w:tcW w:w="309" w:type="dxa"/>
          </w:tcPr>
          <w:p w14:paraId="0B461412"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1F15E297" w14:textId="7FC27E0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9.3</w:t>
            </w:r>
          </w:p>
        </w:tc>
        <w:tc>
          <w:tcPr>
            <w:tcW w:w="719" w:type="dxa"/>
            <w:vAlign w:val="bottom"/>
          </w:tcPr>
          <w:p w14:paraId="25A27441" w14:textId="55DC0E99"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15.2</w:t>
            </w:r>
          </w:p>
        </w:tc>
        <w:tc>
          <w:tcPr>
            <w:tcW w:w="719" w:type="dxa"/>
            <w:vAlign w:val="bottom"/>
          </w:tcPr>
          <w:p w14:paraId="64529A55" w14:textId="18A3AB55"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35.1</w:t>
            </w:r>
          </w:p>
        </w:tc>
      </w:tr>
      <w:tr w:rsidR="00566DD1" w:rsidRPr="00566DD1" w14:paraId="761CF965" w14:textId="77777777" w:rsidTr="00566DD1">
        <w:trPr>
          <w:trHeight w:hRule="exact" w:val="288"/>
          <w:jc w:val="center"/>
        </w:trPr>
        <w:tc>
          <w:tcPr>
            <w:tcW w:w="1006" w:type="dxa"/>
            <w:vAlign w:val="bottom"/>
          </w:tcPr>
          <w:p w14:paraId="69278B47" w14:textId="344F8E3A"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NY</w:t>
            </w:r>
          </w:p>
        </w:tc>
        <w:tc>
          <w:tcPr>
            <w:tcW w:w="720" w:type="dxa"/>
            <w:vAlign w:val="bottom"/>
          </w:tcPr>
          <w:p w14:paraId="2D170B3F" w14:textId="60D5A6ED"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5.6</w:t>
            </w:r>
          </w:p>
        </w:tc>
        <w:tc>
          <w:tcPr>
            <w:tcW w:w="720" w:type="dxa"/>
            <w:vAlign w:val="bottom"/>
          </w:tcPr>
          <w:p w14:paraId="68172B4E" w14:textId="4792FFB6"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14.9</w:t>
            </w:r>
          </w:p>
        </w:tc>
        <w:tc>
          <w:tcPr>
            <w:tcW w:w="720" w:type="dxa"/>
            <w:vAlign w:val="bottom"/>
          </w:tcPr>
          <w:p w14:paraId="5BE52ABF" w14:textId="6853B3EE"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15.4</w:t>
            </w:r>
          </w:p>
        </w:tc>
        <w:tc>
          <w:tcPr>
            <w:tcW w:w="309" w:type="dxa"/>
          </w:tcPr>
          <w:p w14:paraId="2C262523"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01A5D24F" w14:textId="23F468F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13.7</w:t>
            </w:r>
          </w:p>
        </w:tc>
        <w:tc>
          <w:tcPr>
            <w:tcW w:w="719" w:type="dxa"/>
            <w:vAlign w:val="bottom"/>
          </w:tcPr>
          <w:p w14:paraId="5181C9E9" w14:textId="0CCE6E54"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29.5</w:t>
            </w:r>
          </w:p>
        </w:tc>
        <w:tc>
          <w:tcPr>
            <w:tcW w:w="719" w:type="dxa"/>
            <w:vAlign w:val="bottom"/>
          </w:tcPr>
          <w:p w14:paraId="7B2BC5BC" w14:textId="3BAB032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32.9</w:t>
            </w:r>
          </w:p>
        </w:tc>
        <w:tc>
          <w:tcPr>
            <w:tcW w:w="309" w:type="dxa"/>
          </w:tcPr>
          <w:p w14:paraId="3979A54F"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594DBDA6" w14:textId="7DB55C59"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17.0</w:t>
            </w:r>
          </w:p>
        </w:tc>
        <w:tc>
          <w:tcPr>
            <w:tcW w:w="719" w:type="dxa"/>
            <w:vAlign w:val="bottom"/>
          </w:tcPr>
          <w:p w14:paraId="167168FE" w14:textId="161BB24C"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36.5</w:t>
            </w:r>
          </w:p>
        </w:tc>
        <w:tc>
          <w:tcPr>
            <w:tcW w:w="719" w:type="dxa"/>
            <w:vAlign w:val="bottom"/>
          </w:tcPr>
          <w:p w14:paraId="17D58A07" w14:textId="269EE9E9"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41.2</w:t>
            </w:r>
          </w:p>
        </w:tc>
      </w:tr>
      <w:tr w:rsidR="00566DD1" w:rsidRPr="00566DD1" w14:paraId="03884104" w14:textId="77777777" w:rsidTr="00566DD1">
        <w:trPr>
          <w:trHeight w:hRule="exact" w:val="288"/>
          <w:jc w:val="center"/>
        </w:trPr>
        <w:tc>
          <w:tcPr>
            <w:tcW w:w="1006" w:type="dxa"/>
            <w:vAlign w:val="bottom"/>
          </w:tcPr>
          <w:p w14:paraId="50988323" w14:textId="684173C8"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TX</w:t>
            </w:r>
          </w:p>
        </w:tc>
        <w:tc>
          <w:tcPr>
            <w:tcW w:w="720" w:type="dxa"/>
            <w:vAlign w:val="bottom"/>
          </w:tcPr>
          <w:p w14:paraId="05EBC1D7" w14:textId="7573297F"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2.3</w:t>
            </w:r>
          </w:p>
        </w:tc>
        <w:tc>
          <w:tcPr>
            <w:tcW w:w="720" w:type="dxa"/>
            <w:vAlign w:val="bottom"/>
          </w:tcPr>
          <w:p w14:paraId="40780CB4" w14:textId="0B99E8FA"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0.6</w:t>
            </w:r>
          </w:p>
        </w:tc>
        <w:tc>
          <w:tcPr>
            <w:tcW w:w="720" w:type="dxa"/>
            <w:vAlign w:val="bottom"/>
          </w:tcPr>
          <w:p w14:paraId="588C26B0" w14:textId="410BD209"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-0.2</w:t>
            </w:r>
          </w:p>
        </w:tc>
        <w:tc>
          <w:tcPr>
            <w:tcW w:w="309" w:type="dxa"/>
          </w:tcPr>
          <w:p w14:paraId="0A36300D"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13B50ADA" w14:textId="74CA4E66"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4.6</w:t>
            </w:r>
          </w:p>
        </w:tc>
        <w:tc>
          <w:tcPr>
            <w:tcW w:w="719" w:type="dxa"/>
            <w:vAlign w:val="bottom"/>
          </w:tcPr>
          <w:p w14:paraId="236E09AA" w14:textId="63E063E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3.0</w:t>
            </w:r>
          </w:p>
        </w:tc>
        <w:tc>
          <w:tcPr>
            <w:tcW w:w="719" w:type="dxa"/>
            <w:vAlign w:val="bottom"/>
          </w:tcPr>
          <w:p w14:paraId="4F7588A3" w14:textId="0F9DAE0F"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0.2</w:t>
            </w:r>
          </w:p>
        </w:tc>
        <w:tc>
          <w:tcPr>
            <w:tcW w:w="309" w:type="dxa"/>
          </w:tcPr>
          <w:p w14:paraId="27FD17C3"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6B07B2CC" w14:textId="0B6D4D7A"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5.7</w:t>
            </w:r>
          </w:p>
        </w:tc>
        <w:tc>
          <w:tcPr>
            <w:tcW w:w="719" w:type="dxa"/>
            <w:vAlign w:val="bottom"/>
          </w:tcPr>
          <w:p w14:paraId="2163374B" w14:textId="2C7E661A"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4.6</w:t>
            </w:r>
          </w:p>
        </w:tc>
        <w:tc>
          <w:tcPr>
            <w:tcW w:w="719" w:type="dxa"/>
            <w:vAlign w:val="bottom"/>
          </w:tcPr>
          <w:p w14:paraId="764D0365" w14:textId="44BD5617"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2.1</w:t>
            </w:r>
          </w:p>
        </w:tc>
      </w:tr>
      <w:tr w:rsidR="00566DD1" w:rsidRPr="00566DD1" w14:paraId="465157BA" w14:textId="77777777" w:rsidTr="00566DD1">
        <w:trPr>
          <w:trHeight w:hRule="exact" w:val="288"/>
          <w:jc w:val="center"/>
        </w:trPr>
        <w:tc>
          <w:tcPr>
            <w:tcW w:w="1006" w:type="dxa"/>
            <w:vAlign w:val="bottom"/>
          </w:tcPr>
          <w:p w14:paraId="1D32EBBB" w14:textId="7E921E2E"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NENGL</w:t>
            </w:r>
          </w:p>
        </w:tc>
        <w:tc>
          <w:tcPr>
            <w:tcW w:w="720" w:type="dxa"/>
            <w:vAlign w:val="bottom"/>
          </w:tcPr>
          <w:p w14:paraId="458A1E07" w14:textId="029C69B0"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2.8</w:t>
            </w:r>
          </w:p>
        </w:tc>
        <w:tc>
          <w:tcPr>
            <w:tcW w:w="720" w:type="dxa"/>
            <w:vAlign w:val="bottom"/>
          </w:tcPr>
          <w:p w14:paraId="5EAEDC1E" w14:textId="22238FCE"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14.9</w:t>
            </w:r>
          </w:p>
        </w:tc>
        <w:tc>
          <w:tcPr>
            <w:tcW w:w="720" w:type="dxa"/>
            <w:vAlign w:val="bottom"/>
          </w:tcPr>
          <w:p w14:paraId="753F421D" w14:textId="3483D84A"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19.5</w:t>
            </w:r>
          </w:p>
        </w:tc>
        <w:tc>
          <w:tcPr>
            <w:tcW w:w="309" w:type="dxa"/>
          </w:tcPr>
          <w:p w14:paraId="74033D4E"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16D83CDC" w14:textId="278B69BA"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5.7</w:t>
            </w:r>
          </w:p>
        </w:tc>
        <w:tc>
          <w:tcPr>
            <w:tcW w:w="719" w:type="dxa"/>
            <w:vAlign w:val="bottom"/>
          </w:tcPr>
          <w:p w14:paraId="00A3942D" w14:textId="5089BFA8"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32.5</w:t>
            </w:r>
          </w:p>
        </w:tc>
        <w:tc>
          <w:tcPr>
            <w:tcW w:w="719" w:type="dxa"/>
            <w:vAlign w:val="bottom"/>
          </w:tcPr>
          <w:p w14:paraId="1E782411" w14:textId="0E5F66E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44.2</w:t>
            </w:r>
          </w:p>
        </w:tc>
        <w:tc>
          <w:tcPr>
            <w:tcW w:w="309" w:type="dxa"/>
          </w:tcPr>
          <w:p w14:paraId="1FA56B35"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020C6FFB" w14:textId="48571BDA"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7.5</w:t>
            </w:r>
          </w:p>
        </w:tc>
        <w:tc>
          <w:tcPr>
            <w:tcW w:w="719" w:type="dxa"/>
            <w:vAlign w:val="bottom"/>
          </w:tcPr>
          <w:p w14:paraId="323099F5" w14:textId="7B16410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42.0</w:t>
            </w:r>
          </w:p>
        </w:tc>
        <w:tc>
          <w:tcPr>
            <w:tcW w:w="719" w:type="dxa"/>
            <w:vAlign w:val="bottom"/>
          </w:tcPr>
          <w:p w14:paraId="0D8F1CD2" w14:textId="2DA90B77"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56.2</w:t>
            </w:r>
          </w:p>
        </w:tc>
      </w:tr>
      <w:tr w:rsidR="00566DD1" w:rsidRPr="00566DD1" w14:paraId="162B6D24" w14:textId="77777777" w:rsidTr="00566DD1">
        <w:trPr>
          <w:trHeight w:hRule="exact" w:val="288"/>
          <w:jc w:val="center"/>
        </w:trPr>
        <w:tc>
          <w:tcPr>
            <w:tcW w:w="1006" w:type="dxa"/>
            <w:vAlign w:val="bottom"/>
          </w:tcPr>
          <w:p w14:paraId="0FEF6776" w14:textId="506309C2"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SEAST</w:t>
            </w:r>
          </w:p>
        </w:tc>
        <w:tc>
          <w:tcPr>
            <w:tcW w:w="720" w:type="dxa"/>
            <w:vAlign w:val="bottom"/>
          </w:tcPr>
          <w:p w14:paraId="6E60C2B3" w14:textId="3BC1E402"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4.1</w:t>
            </w:r>
          </w:p>
        </w:tc>
        <w:tc>
          <w:tcPr>
            <w:tcW w:w="720" w:type="dxa"/>
            <w:vAlign w:val="bottom"/>
          </w:tcPr>
          <w:p w14:paraId="111A4D02" w14:textId="0D03D689"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5.5</w:t>
            </w:r>
          </w:p>
        </w:tc>
        <w:tc>
          <w:tcPr>
            <w:tcW w:w="720" w:type="dxa"/>
            <w:vAlign w:val="bottom"/>
          </w:tcPr>
          <w:p w14:paraId="3909027F" w14:textId="1C5BD284"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3.5</w:t>
            </w:r>
          </w:p>
        </w:tc>
        <w:tc>
          <w:tcPr>
            <w:tcW w:w="309" w:type="dxa"/>
          </w:tcPr>
          <w:p w14:paraId="1AA7F6A3"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29B18187" w14:textId="68195EED"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9.0</w:t>
            </w:r>
          </w:p>
        </w:tc>
        <w:tc>
          <w:tcPr>
            <w:tcW w:w="719" w:type="dxa"/>
            <w:vAlign w:val="bottom"/>
          </w:tcPr>
          <w:p w14:paraId="19C2E526" w14:textId="4584B5F5"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13.2</w:t>
            </w:r>
          </w:p>
        </w:tc>
        <w:tc>
          <w:tcPr>
            <w:tcW w:w="719" w:type="dxa"/>
            <w:vAlign w:val="bottom"/>
          </w:tcPr>
          <w:p w14:paraId="64DD92C2" w14:textId="726FD0F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12.9</w:t>
            </w:r>
          </w:p>
        </w:tc>
        <w:tc>
          <w:tcPr>
            <w:tcW w:w="309" w:type="dxa"/>
          </w:tcPr>
          <w:p w14:paraId="502E0B1D"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2353FFE9" w14:textId="5D1C305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11.7</w:t>
            </w:r>
          </w:p>
        </w:tc>
        <w:tc>
          <w:tcPr>
            <w:tcW w:w="719" w:type="dxa"/>
            <w:vAlign w:val="bottom"/>
          </w:tcPr>
          <w:p w14:paraId="688D428B" w14:textId="70D81F47"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18.1</w:t>
            </w:r>
          </w:p>
        </w:tc>
        <w:tc>
          <w:tcPr>
            <w:tcW w:w="719" w:type="dxa"/>
            <w:vAlign w:val="bottom"/>
          </w:tcPr>
          <w:p w14:paraId="0E3EB17B" w14:textId="3AB4A2A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25.3</w:t>
            </w:r>
          </w:p>
        </w:tc>
      </w:tr>
      <w:tr w:rsidR="00566DD1" w:rsidRPr="00566DD1" w14:paraId="05ACA1B3" w14:textId="77777777" w:rsidTr="00566DD1">
        <w:trPr>
          <w:trHeight w:hRule="exact" w:val="288"/>
          <w:jc w:val="center"/>
        </w:trPr>
        <w:tc>
          <w:tcPr>
            <w:tcW w:w="1006" w:type="dxa"/>
            <w:vAlign w:val="bottom"/>
          </w:tcPr>
          <w:p w14:paraId="4F4B26B0" w14:textId="4FE833FE"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NEAST</w:t>
            </w:r>
          </w:p>
        </w:tc>
        <w:tc>
          <w:tcPr>
            <w:tcW w:w="720" w:type="dxa"/>
            <w:vAlign w:val="bottom"/>
          </w:tcPr>
          <w:p w14:paraId="1117FF17" w14:textId="08E589BE"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0.9</w:t>
            </w:r>
          </w:p>
        </w:tc>
        <w:tc>
          <w:tcPr>
            <w:tcW w:w="720" w:type="dxa"/>
            <w:vAlign w:val="bottom"/>
          </w:tcPr>
          <w:p w14:paraId="60A1BDF7" w14:textId="3F4829AE"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-0.3</w:t>
            </w:r>
          </w:p>
        </w:tc>
        <w:tc>
          <w:tcPr>
            <w:tcW w:w="720" w:type="dxa"/>
            <w:vAlign w:val="bottom"/>
          </w:tcPr>
          <w:p w14:paraId="380197CE" w14:textId="4CCF689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5.0</w:t>
            </w:r>
          </w:p>
        </w:tc>
        <w:tc>
          <w:tcPr>
            <w:tcW w:w="309" w:type="dxa"/>
          </w:tcPr>
          <w:p w14:paraId="772F0C70"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302982F8" w14:textId="158607F5"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1.7</w:t>
            </w:r>
          </w:p>
        </w:tc>
        <w:tc>
          <w:tcPr>
            <w:tcW w:w="719" w:type="dxa"/>
            <w:vAlign w:val="bottom"/>
          </w:tcPr>
          <w:p w14:paraId="4392225C" w14:textId="65465511"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2.1</w:t>
            </w:r>
          </w:p>
        </w:tc>
        <w:tc>
          <w:tcPr>
            <w:tcW w:w="719" w:type="dxa"/>
            <w:vAlign w:val="bottom"/>
          </w:tcPr>
          <w:p w14:paraId="583CFB16" w14:textId="1943E245"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7.2</w:t>
            </w:r>
          </w:p>
        </w:tc>
        <w:tc>
          <w:tcPr>
            <w:tcW w:w="309" w:type="dxa"/>
          </w:tcPr>
          <w:p w14:paraId="258D5BBB"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367968C3" w14:textId="7E9A8107"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1.3</w:t>
            </w:r>
          </w:p>
        </w:tc>
        <w:tc>
          <w:tcPr>
            <w:tcW w:w="719" w:type="dxa"/>
            <w:vAlign w:val="bottom"/>
          </w:tcPr>
          <w:p w14:paraId="6AB4DEA6" w14:textId="3D476E2C"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3.9</w:t>
            </w:r>
          </w:p>
        </w:tc>
        <w:tc>
          <w:tcPr>
            <w:tcW w:w="719" w:type="dxa"/>
            <w:vAlign w:val="bottom"/>
          </w:tcPr>
          <w:p w14:paraId="37CE7008" w14:textId="3C0F20B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10.3</w:t>
            </w:r>
          </w:p>
        </w:tc>
      </w:tr>
      <w:tr w:rsidR="00566DD1" w:rsidRPr="00566DD1" w14:paraId="18D19FEB" w14:textId="77777777" w:rsidTr="00566DD1">
        <w:trPr>
          <w:trHeight w:hRule="exact" w:val="288"/>
          <w:jc w:val="center"/>
        </w:trPr>
        <w:tc>
          <w:tcPr>
            <w:tcW w:w="1006" w:type="dxa"/>
            <w:vAlign w:val="bottom"/>
          </w:tcPr>
          <w:p w14:paraId="675F1F2A" w14:textId="16DE0961"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SCENT</w:t>
            </w:r>
          </w:p>
        </w:tc>
        <w:tc>
          <w:tcPr>
            <w:tcW w:w="720" w:type="dxa"/>
            <w:vAlign w:val="bottom"/>
          </w:tcPr>
          <w:p w14:paraId="473B72A9" w14:textId="2BAB96F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0.7</w:t>
            </w:r>
          </w:p>
        </w:tc>
        <w:tc>
          <w:tcPr>
            <w:tcW w:w="720" w:type="dxa"/>
            <w:vAlign w:val="bottom"/>
          </w:tcPr>
          <w:p w14:paraId="4EAAA685" w14:textId="58A6B9D4"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1.2</w:t>
            </w:r>
          </w:p>
        </w:tc>
        <w:tc>
          <w:tcPr>
            <w:tcW w:w="720" w:type="dxa"/>
            <w:vAlign w:val="bottom"/>
          </w:tcPr>
          <w:p w14:paraId="03C31017" w14:textId="5486B0E2"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1.7</w:t>
            </w:r>
          </w:p>
        </w:tc>
        <w:tc>
          <w:tcPr>
            <w:tcW w:w="309" w:type="dxa"/>
          </w:tcPr>
          <w:p w14:paraId="2399FAB8"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6D4CF8AD" w14:textId="6FA15FFC"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1.5</w:t>
            </w:r>
          </w:p>
        </w:tc>
        <w:tc>
          <w:tcPr>
            <w:tcW w:w="719" w:type="dxa"/>
            <w:vAlign w:val="bottom"/>
          </w:tcPr>
          <w:p w14:paraId="3CECF923" w14:textId="2E5D7131"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2.3</w:t>
            </w:r>
          </w:p>
        </w:tc>
        <w:tc>
          <w:tcPr>
            <w:tcW w:w="719" w:type="dxa"/>
            <w:vAlign w:val="bottom"/>
          </w:tcPr>
          <w:p w14:paraId="6A1E89F4" w14:textId="22301AE7"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1.0</w:t>
            </w:r>
          </w:p>
        </w:tc>
        <w:tc>
          <w:tcPr>
            <w:tcW w:w="309" w:type="dxa"/>
          </w:tcPr>
          <w:p w14:paraId="426C4B9A"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309F5877" w14:textId="0ED36FFF"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3.9</w:t>
            </w:r>
          </w:p>
        </w:tc>
        <w:tc>
          <w:tcPr>
            <w:tcW w:w="719" w:type="dxa"/>
            <w:vAlign w:val="bottom"/>
          </w:tcPr>
          <w:p w14:paraId="6C11AC9D" w14:textId="1991CF97"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2.1</w:t>
            </w:r>
          </w:p>
        </w:tc>
        <w:tc>
          <w:tcPr>
            <w:tcW w:w="719" w:type="dxa"/>
            <w:vAlign w:val="bottom"/>
          </w:tcPr>
          <w:p w14:paraId="7D17E5A3" w14:textId="5F98DAD8"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2.3</w:t>
            </w:r>
          </w:p>
        </w:tc>
      </w:tr>
      <w:tr w:rsidR="00566DD1" w:rsidRPr="00566DD1" w14:paraId="61D16AB8" w14:textId="77777777" w:rsidTr="00566DD1">
        <w:trPr>
          <w:trHeight w:hRule="exact" w:val="288"/>
          <w:jc w:val="center"/>
        </w:trPr>
        <w:tc>
          <w:tcPr>
            <w:tcW w:w="1006" w:type="dxa"/>
            <w:vAlign w:val="bottom"/>
          </w:tcPr>
          <w:p w14:paraId="611D6197" w14:textId="26BAF551"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NCENT</w:t>
            </w:r>
          </w:p>
        </w:tc>
        <w:tc>
          <w:tcPr>
            <w:tcW w:w="720" w:type="dxa"/>
            <w:vAlign w:val="bottom"/>
          </w:tcPr>
          <w:p w14:paraId="3F35BD64" w14:textId="07A1DEA0"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0.5</w:t>
            </w:r>
          </w:p>
        </w:tc>
        <w:tc>
          <w:tcPr>
            <w:tcW w:w="720" w:type="dxa"/>
            <w:vAlign w:val="bottom"/>
          </w:tcPr>
          <w:p w14:paraId="0BAF6F83" w14:textId="0811246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4.1</w:t>
            </w:r>
          </w:p>
        </w:tc>
        <w:tc>
          <w:tcPr>
            <w:tcW w:w="720" w:type="dxa"/>
            <w:vAlign w:val="bottom"/>
          </w:tcPr>
          <w:p w14:paraId="6455A152" w14:textId="1011884D"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2.0</w:t>
            </w:r>
          </w:p>
        </w:tc>
        <w:tc>
          <w:tcPr>
            <w:tcW w:w="309" w:type="dxa"/>
          </w:tcPr>
          <w:p w14:paraId="1D50540A"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441AB17D" w14:textId="4234AC45"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1.4</w:t>
            </w:r>
          </w:p>
        </w:tc>
        <w:tc>
          <w:tcPr>
            <w:tcW w:w="719" w:type="dxa"/>
            <w:vAlign w:val="bottom"/>
          </w:tcPr>
          <w:p w14:paraId="4F17D510" w14:textId="1494C328"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4.4</w:t>
            </w:r>
          </w:p>
        </w:tc>
        <w:tc>
          <w:tcPr>
            <w:tcW w:w="719" w:type="dxa"/>
            <w:vAlign w:val="bottom"/>
          </w:tcPr>
          <w:p w14:paraId="605599AE" w14:textId="32A01109"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2.4</w:t>
            </w:r>
          </w:p>
        </w:tc>
        <w:tc>
          <w:tcPr>
            <w:tcW w:w="309" w:type="dxa"/>
          </w:tcPr>
          <w:p w14:paraId="58EEEDAB"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4EF5A45E" w14:textId="3F27263C"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0.7</w:t>
            </w:r>
          </w:p>
        </w:tc>
        <w:tc>
          <w:tcPr>
            <w:tcW w:w="719" w:type="dxa"/>
            <w:vAlign w:val="bottom"/>
          </w:tcPr>
          <w:p w14:paraId="40AF832A" w14:textId="04340DA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5.1</w:t>
            </w:r>
          </w:p>
        </w:tc>
        <w:tc>
          <w:tcPr>
            <w:tcW w:w="719" w:type="dxa"/>
            <w:vAlign w:val="bottom"/>
          </w:tcPr>
          <w:p w14:paraId="2847B402" w14:textId="661AC125"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2.6</w:t>
            </w:r>
          </w:p>
        </w:tc>
      </w:tr>
      <w:tr w:rsidR="00566DD1" w:rsidRPr="00566DD1" w14:paraId="1710F132" w14:textId="77777777" w:rsidTr="00566DD1">
        <w:trPr>
          <w:trHeight w:hRule="exact" w:val="288"/>
          <w:jc w:val="center"/>
        </w:trPr>
        <w:tc>
          <w:tcPr>
            <w:tcW w:w="1006" w:type="dxa"/>
            <w:vAlign w:val="bottom"/>
          </w:tcPr>
          <w:p w14:paraId="67FD4BB5" w14:textId="1294656F"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MOUNT</w:t>
            </w:r>
          </w:p>
        </w:tc>
        <w:tc>
          <w:tcPr>
            <w:tcW w:w="720" w:type="dxa"/>
            <w:vAlign w:val="bottom"/>
          </w:tcPr>
          <w:p w14:paraId="7B4E4BB2" w14:textId="16285BC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0.5</w:t>
            </w:r>
          </w:p>
        </w:tc>
        <w:tc>
          <w:tcPr>
            <w:tcW w:w="720" w:type="dxa"/>
            <w:vAlign w:val="bottom"/>
          </w:tcPr>
          <w:p w14:paraId="05BAEFEB" w14:textId="775D452F"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-1.3</w:t>
            </w:r>
          </w:p>
        </w:tc>
        <w:tc>
          <w:tcPr>
            <w:tcW w:w="720" w:type="dxa"/>
            <w:vAlign w:val="bottom"/>
          </w:tcPr>
          <w:p w14:paraId="6F92AE69" w14:textId="7A5B9F78"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-1.0</w:t>
            </w:r>
          </w:p>
        </w:tc>
        <w:tc>
          <w:tcPr>
            <w:tcW w:w="309" w:type="dxa"/>
          </w:tcPr>
          <w:p w14:paraId="0837E67A"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6939DA25" w14:textId="247EF56F"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0.6</w:t>
            </w:r>
          </w:p>
        </w:tc>
        <w:tc>
          <w:tcPr>
            <w:tcW w:w="719" w:type="dxa"/>
            <w:vAlign w:val="bottom"/>
          </w:tcPr>
          <w:p w14:paraId="6B729BC6" w14:textId="0070609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-1.4</w:t>
            </w:r>
          </w:p>
        </w:tc>
        <w:tc>
          <w:tcPr>
            <w:tcW w:w="719" w:type="dxa"/>
            <w:vAlign w:val="bottom"/>
          </w:tcPr>
          <w:p w14:paraId="26CEEF12" w14:textId="0E2FF3A8"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-1.5</w:t>
            </w:r>
          </w:p>
        </w:tc>
        <w:tc>
          <w:tcPr>
            <w:tcW w:w="309" w:type="dxa"/>
          </w:tcPr>
          <w:p w14:paraId="3BE33FD2" w14:textId="77777777" w:rsidR="00566DD1" w:rsidRPr="00566DD1" w:rsidRDefault="00566DD1" w:rsidP="00566DD1">
            <w:pPr>
              <w:jc w:val="right"/>
              <w:rPr>
                <w:rFonts w:asciiTheme="minorHAnsi" w:hAnsiTheme="minorHAnsi" w:cstheme="minorHAnsi"/>
                <w:color w:val="000000"/>
                <w:sz w:val="20"/>
                <w:szCs w:val="22"/>
              </w:rPr>
            </w:pPr>
          </w:p>
        </w:tc>
        <w:tc>
          <w:tcPr>
            <w:tcW w:w="719" w:type="dxa"/>
            <w:vAlign w:val="bottom"/>
          </w:tcPr>
          <w:p w14:paraId="6BB64DFE" w14:textId="1A8CE46E"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1.0</w:t>
            </w:r>
          </w:p>
        </w:tc>
        <w:tc>
          <w:tcPr>
            <w:tcW w:w="719" w:type="dxa"/>
            <w:vAlign w:val="bottom"/>
          </w:tcPr>
          <w:p w14:paraId="4BDAFBEA" w14:textId="425FB477"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0.5</w:t>
            </w:r>
          </w:p>
        </w:tc>
        <w:tc>
          <w:tcPr>
            <w:tcW w:w="719" w:type="dxa"/>
            <w:vAlign w:val="bottom"/>
          </w:tcPr>
          <w:p w14:paraId="2AFF168D" w14:textId="11B947ED"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-0.1</w:t>
            </w:r>
          </w:p>
        </w:tc>
      </w:tr>
      <w:tr w:rsidR="00566DD1" w:rsidRPr="00566DD1" w14:paraId="79D3EBA1" w14:textId="77777777" w:rsidTr="00566DD1">
        <w:trPr>
          <w:trHeight w:hRule="exact" w:val="288"/>
          <w:jc w:val="center"/>
        </w:trPr>
        <w:tc>
          <w:tcPr>
            <w:tcW w:w="1006" w:type="dxa"/>
            <w:tcBorders>
              <w:bottom w:val="thickThinSmallGap" w:sz="18" w:space="0" w:color="auto"/>
            </w:tcBorders>
            <w:vAlign w:val="bottom"/>
          </w:tcPr>
          <w:p w14:paraId="3B5295B1" w14:textId="4A6DF6E8" w:rsidR="00566DD1" w:rsidRPr="00566DD1" w:rsidRDefault="00566DD1" w:rsidP="00566DD1">
            <w:pPr>
              <w:rPr>
                <w:rFonts w:asciiTheme="minorHAnsi" w:hAnsiTheme="minorHAnsi" w:cstheme="minorHAnsi"/>
                <w:sz w:val="20"/>
              </w:rPr>
            </w:pPr>
            <w:r w:rsidRPr="00566DD1">
              <w:rPr>
                <w:rFonts w:asciiTheme="minorHAnsi" w:hAnsiTheme="minorHAnsi" w:cstheme="minorHAnsi"/>
                <w:color w:val="000000"/>
                <w:sz w:val="20"/>
                <w:szCs w:val="22"/>
              </w:rPr>
              <w:t>PACIF</w:t>
            </w:r>
          </w:p>
        </w:tc>
        <w:tc>
          <w:tcPr>
            <w:tcW w:w="720" w:type="dxa"/>
            <w:tcBorders>
              <w:bottom w:val="thickThinSmallGap" w:sz="18" w:space="0" w:color="auto"/>
            </w:tcBorders>
            <w:vAlign w:val="bottom"/>
          </w:tcPr>
          <w:p w14:paraId="6A457021" w14:textId="62D9AE45"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3.0</w:t>
            </w:r>
          </w:p>
        </w:tc>
        <w:tc>
          <w:tcPr>
            <w:tcW w:w="720" w:type="dxa"/>
            <w:tcBorders>
              <w:bottom w:val="thickThinSmallGap" w:sz="18" w:space="0" w:color="auto"/>
            </w:tcBorders>
            <w:vAlign w:val="bottom"/>
          </w:tcPr>
          <w:p w14:paraId="04EB911C" w14:textId="0B322064"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5.4</w:t>
            </w:r>
          </w:p>
        </w:tc>
        <w:tc>
          <w:tcPr>
            <w:tcW w:w="720" w:type="dxa"/>
            <w:tcBorders>
              <w:bottom w:val="thickThinSmallGap" w:sz="18" w:space="0" w:color="auto"/>
            </w:tcBorders>
            <w:vAlign w:val="bottom"/>
          </w:tcPr>
          <w:p w14:paraId="5C2AA0F5" w14:textId="3EC1A5E4"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4.5</w:t>
            </w:r>
          </w:p>
        </w:tc>
        <w:tc>
          <w:tcPr>
            <w:tcW w:w="309" w:type="dxa"/>
            <w:tcBorders>
              <w:bottom w:val="thickThinSmallGap" w:sz="18" w:space="0" w:color="auto"/>
            </w:tcBorders>
          </w:tcPr>
          <w:p w14:paraId="6340332F" w14:textId="77777777" w:rsidR="00566DD1" w:rsidRPr="00566DD1" w:rsidRDefault="00566DD1" w:rsidP="00566DD1">
            <w:pPr>
              <w:jc w:val="right"/>
              <w:rPr>
                <w:rFonts w:asciiTheme="minorHAnsi" w:hAnsiTheme="minorHAnsi" w:cstheme="minorHAnsi"/>
                <w:color w:val="000000"/>
                <w:sz w:val="20"/>
                <w:szCs w:val="22"/>
              </w:rPr>
            </w:pPr>
          </w:p>
        </w:tc>
        <w:tc>
          <w:tcPr>
            <w:tcW w:w="719" w:type="dxa"/>
            <w:tcBorders>
              <w:bottom w:val="thickThinSmallGap" w:sz="18" w:space="0" w:color="auto"/>
            </w:tcBorders>
            <w:vAlign w:val="bottom"/>
          </w:tcPr>
          <w:p w14:paraId="6A6DC346" w14:textId="6D49823E"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6.1</w:t>
            </w:r>
          </w:p>
        </w:tc>
        <w:tc>
          <w:tcPr>
            <w:tcW w:w="719" w:type="dxa"/>
            <w:tcBorders>
              <w:bottom w:val="thickThinSmallGap" w:sz="18" w:space="0" w:color="auto"/>
            </w:tcBorders>
            <w:vAlign w:val="bottom"/>
          </w:tcPr>
          <w:p w14:paraId="0FE94054" w14:textId="508780FE"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11.6</w:t>
            </w:r>
          </w:p>
        </w:tc>
        <w:tc>
          <w:tcPr>
            <w:tcW w:w="719" w:type="dxa"/>
            <w:tcBorders>
              <w:bottom w:val="thickThinSmallGap" w:sz="18" w:space="0" w:color="auto"/>
            </w:tcBorders>
            <w:vAlign w:val="bottom"/>
          </w:tcPr>
          <w:p w14:paraId="02559F93" w14:textId="501881BB"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10.2</w:t>
            </w:r>
          </w:p>
        </w:tc>
        <w:tc>
          <w:tcPr>
            <w:tcW w:w="309" w:type="dxa"/>
            <w:tcBorders>
              <w:bottom w:val="thickThinSmallGap" w:sz="18" w:space="0" w:color="auto"/>
            </w:tcBorders>
          </w:tcPr>
          <w:p w14:paraId="5A8361F1" w14:textId="77777777" w:rsidR="00566DD1" w:rsidRPr="00566DD1" w:rsidRDefault="00566DD1" w:rsidP="00566DD1">
            <w:pPr>
              <w:jc w:val="right"/>
              <w:rPr>
                <w:rFonts w:asciiTheme="minorHAnsi" w:hAnsiTheme="minorHAnsi" w:cstheme="minorHAnsi"/>
                <w:color w:val="000000"/>
                <w:sz w:val="20"/>
                <w:szCs w:val="22"/>
              </w:rPr>
            </w:pPr>
          </w:p>
        </w:tc>
        <w:tc>
          <w:tcPr>
            <w:tcW w:w="719" w:type="dxa"/>
            <w:tcBorders>
              <w:bottom w:val="thickThinSmallGap" w:sz="18" w:space="0" w:color="auto"/>
            </w:tcBorders>
            <w:vAlign w:val="bottom"/>
          </w:tcPr>
          <w:p w14:paraId="29D781B3" w14:textId="4FC31DF0"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8.3</w:t>
            </w:r>
          </w:p>
        </w:tc>
        <w:tc>
          <w:tcPr>
            <w:tcW w:w="719" w:type="dxa"/>
            <w:tcBorders>
              <w:bottom w:val="thickThinSmallGap" w:sz="18" w:space="0" w:color="auto"/>
            </w:tcBorders>
            <w:vAlign w:val="bottom"/>
          </w:tcPr>
          <w:p w14:paraId="4B978BD1" w14:textId="0A7BCF71"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15.6</w:t>
            </w:r>
          </w:p>
        </w:tc>
        <w:tc>
          <w:tcPr>
            <w:tcW w:w="719" w:type="dxa"/>
            <w:tcBorders>
              <w:bottom w:val="thickThinSmallGap" w:sz="18" w:space="0" w:color="auto"/>
            </w:tcBorders>
            <w:vAlign w:val="bottom"/>
          </w:tcPr>
          <w:p w14:paraId="0FDBAEF7" w14:textId="70F356F3" w:rsidR="00566DD1" w:rsidRPr="00566DD1" w:rsidRDefault="00566DD1" w:rsidP="00566DD1">
            <w:pPr>
              <w:jc w:val="right"/>
              <w:rPr>
                <w:rFonts w:asciiTheme="minorHAnsi" w:hAnsiTheme="minorHAnsi" w:cstheme="minorHAnsi"/>
                <w:sz w:val="20"/>
              </w:rPr>
            </w:pPr>
            <w:r w:rsidRPr="00566DD1">
              <w:rPr>
                <w:rFonts w:asciiTheme="minorHAnsi" w:hAnsiTheme="minorHAnsi" w:cstheme="minorHAnsi"/>
                <w:color w:val="000000"/>
                <w:sz w:val="22"/>
                <w:szCs w:val="22"/>
              </w:rPr>
              <w:t>15.0</w:t>
            </w:r>
          </w:p>
        </w:tc>
      </w:tr>
    </w:tbl>
    <w:p w14:paraId="565F8131" w14:textId="78624535" w:rsidR="0076746F" w:rsidRDefault="0076746F" w:rsidP="0076746F"/>
    <w:p w14:paraId="6D060560" w14:textId="37E6F849" w:rsidR="003663C8" w:rsidRDefault="001C1312" w:rsidP="0076746F">
      <w:r>
        <w:t>H</w:t>
      </w:r>
      <w:r w:rsidR="005A7936">
        <w:t>igher RPS targets</w:t>
      </w:r>
      <w:r>
        <w:t xml:space="preserve"> induce</w:t>
      </w:r>
      <w:r w:rsidR="005A7936">
        <w:t xml:space="preserve"> </w:t>
      </w:r>
      <w:r>
        <w:t xml:space="preserve">adjustment in </w:t>
      </w:r>
      <w:r w:rsidR="005A7936">
        <w:t xml:space="preserve">generation </w:t>
      </w:r>
      <w:r>
        <w:t>portfolio to</w:t>
      </w:r>
      <w:r w:rsidR="005A7936">
        <w:t xml:space="preserve"> displace fossil-fired generation with renewable generation. </w:t>
      </w:r>
      <w:r w:rsidR="00351538">
        <w:t>Generation g</w:t>
      </w:r>
      <w:r w:rsidR="005A7936">
        <w:t xml:space="preserve">as demand drops substantially </w:t>
      </w:r>
      <w:r w:rsidR="00351538">
        <w:t xml:space="preserve">compared to </w:t>
      </w:r>
      <w:r>
        <w:t xml:space="preserve">the change in </w:t>
      </w:r>
      <w:r w:rsidR="00351538">
        <w:t>demand for coal and oil</w:t>
      </w:r>
      <w:r w:rsidR="00B269A2">
        <w:t xml:space="preserve"> (see </w:t>
      </w:r>
      <w:r w:rsidR="00B269A2">
        <w:fldChar w:fldCharType="begin"/>
      </w:r>
      <w:r w:rsidR="00B269A2">
        <w:instrText xml:space="preserve"> REF _Ref11794119 \h </w:instrText>
      </w:r>
      <w:r w:rsidR="00B269A2">
        <w:fldChar w:fldCharType="separate"/>
      </w:r>
      <w:r w:rsidR="008D6287">
        <w:t xml:space="preserve">Figure </w:t>
      </w:r>
      <w:r w:rsidR="008D6287">
        <w:rPr>
          <w:noProof/>
        </w:rPr>
        <w:t>11</w:t>
      </w:r>
      <w:r w:rsidR="00B269A2">
        <w:fldChar w:fldCharType="end"/>
      </w:r>
      <w:r w:rsidR="00B269A2">
        <w:t>)</w:t>
      </w:r>
      <w:r w:rsidR="00351538">
        <w:t xml:space="preserve">, implying that coal </w:t>
      </w:r>
      <w:r w:rsidR="00E26E16">
        <w:t>and oil technology</w:t>
      </w:r>
      <w:r w:rsidR="00351538">
        <w:t xml:space="preserve"> fare better by gaining a comparative advantage over gas generation when the RPS compliance raises the marginal electricity price.</w:t>
      </w:r>
    </w:p>
    <w:p w14:paraId="1B85C1E0" w14:textId="010AF722" w:rsidR="00347442" w:rsidRPr="0076746F" w:rsidRDefault="0001274A" w:rsidP="0076746F">
      <w:r>
        <w:lastRenderedPageBreak/>
        <w:fldChar w:fldCharType="begin"/>
      </w:r>
      <w:r>
        <w:instrText xml:space="preserve"> REF _Ref11794119 \h </w:instrText>
      </w:r>
      <w:r>
        <w:fldChar w:fldCharType="separate"/>
      </w:r>
      <w:r w:rsidR="00EE1514">
        <w:t xml:space="preserve">Figure </w:t>
      </w:r>
      <w:r w:rsidR="00EE1514">
        <w:rPr>
          <w:noProof/>
        </w:rPr>
        <w:t>11</w:t>
      </w:r>
      <w:r>
        <w:fldChar w:fldCharType="end"/>
      </w:r>
      <w:r>
        <w:t xml:space="preserve"> shows the changes of fuel demand by the electricity and non-electricity sector. Tighter RPS targets lead to </w:t>
      </w:r>
      <w:r w:rsidR="00347442">
        <w:t xml:space="preserve">reductions in fuel demand by electricity generation </w:t>
      </w:r>
      <w:r>
        <w:t xml:space="preserve">that </w:t>
      </w:r>
      <w:r w:rsidR="00347442">
        <w:t>leads to lower fuel price</w:t>
      </w:r>
      <w:r w:rsidR="002476B4">
        <w:t>s which in turn generate</w:t>
      </w:r>
      <w:r w:rsidR="00347442">
        <w:t xml:space="preserve"> a rebound effect in demand by the non-electricity sector which partially offsets the reduction in</w:t>
      </w:r>
      <w:r w:rsidR="004A4A90">
        <w:t xml:space="preserve"> generation</w:t>
      </w:r>
      <w:r w:rsidR="00347442">
        <w:t xml:space="preserve"> fuel demand</w:t>
      </w:r>
      <w:r w:rsidR="004F25A0">
        <w:t>. Another offsetting increase in fuel demand is driven by the relative price change between electricity and fuels</w:t>
      </w:r>
      <w:r w:rsidR="008779F9">
        <w:t>, providing an incentive to substitute more costly electricity with cheaper fossil fuels. The rebound and substitution effect both partially offset the reduction in generation fuel demand</w:t>
      </w:r>
      <w:r w:rsidR="00347442">
        <w:t xml:space="preserve"> </w:t>
      </w:r>
      <w:r w:rsidR="004A4A90">
        <w:t>and</w:t>
      </w:r>
      <w:r w:rsidR="00347442">
        <w:t xml:space="preserve"> fuel prices, end</w:t>
      </w:r>
      <w:r w:rsidR="000953ED">
        <w:t>ing</w:t>
      </w:r>
      <w:r w:rsidR="00347442">
        <w:t xml:space="preserve"> up with a </w:t>
      </w:r>
      <w:r w:rsidR="00D20F8F">
        <w:t xml:space="preserve">price reduction of </w:t>
      </w:r>
      <w:r w:rsidR="00347442">
        <w:t xml:space="preserve">5% and 4.5% by 2050 </w:t>
      </w:r>
      <w:r w:rsidR="00D20F8F">
        <w:t xml:space="preserve">for natural gas and coal, respectively, in the rps50 case </w:t>
      </w:r>
      <w:r>
        <w:t xml:space="preserve">relative to the reference level (see </w:t>
      </w:r>
      <w:r>
        <w:fldChar w:fldCharType="begin"/>
      </w:r>
      <w:r>
        <w:instrText xml:space="preserve"> REF _Ref11873057 \h </w:instrText>
      </w:r>
      <w:r>
        <w:fldChar w:fldCharType="separate"/>
      </w:r>
      <w:r w:rsidR="00EE1514">
        <w:t xml:space="preserve">Figure </w:t>
      </w:r>
      <w:r w:rsidR="00EE1514">
        <w:rPr>
          <w:noProof/>
        </w:rPr>
        <w:t>12</w:t>
      </w:r>
      <w:r>
        <w:fldChar w:fldCharType="end"/>
      </w:r>
      <w:r>
        <w:t>).</w:t>
      </w:r>
    </w:p>
    <w:p w14:paraId="657D8010" w14:textId="15FC83BF" w:rsidR="004944CD" w:rsidRDefault="008779F9" w:rsidP="00B269A2">
      <w:pPr>
        <w:pStyle w:val="Figure"/>
      </w:pPr>
      <w:r>
        <w:rPr>
          <w:noProof/>
          <w:lang w:eastAsia="zh-CN"/>
        </w:rPr>
        <w:drawing>
          <wp:inline distT="0" distB="0" distL="0" distR="0" wp14:anchorId="26C39917" wp14:editId="467D8E82">
            <wp:extent cx="2724912" cy="172821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4912" cy="1728216"/>
                    </a:xfrm>
                    <a:prstGeom prst="rect">
                      <a:avLst/>
                    </a:prstGeom>
                    <a:noFill/>
                  </pic:spPr>
                </pic:pic>
              </a:graphicData>
            </a:graphic>
          </wp:inline>
        </w:drawing>
      </w:r>
      <w:r>
        <w:t xml:space="preserve">  </w:t>
      </w:r>
      <w:r w:rsidR="00991AA2">
        <w:t xml:space="preserve">  </w:t>
      </w:r>
      <w:r>
        <w:t xml:space="preserve"> </w:t>
      </w:r>
      <w:r w:rsidR="00D53725">
        <w:rPr>
          <w:noProof/>
          <w:lang w:eastAsia="zh-CN"/>
        </w:rPr>
        <w:drawing>
          <wp:inline distT="0" distB="0" distL="0" distR="0" wp14:anchorId="4964E556" wp14:editId="7BB0F131">
            <wp:extent cx="2743200" cy="1728216"/>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0" cy="1728216"/>
                    </a:xfrm>
                    <a:prstGeom prst="rect">
                      <a:avLst/>
                    </a:prstGeom>
                    <a:noFill/>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675"/>
      </w:tblGrid>
      <w:tr w:rsidR="00933C37" w:rsidRPr="00235C4F" w14:paraId="352341CA" w14:textId="77777777" w:rsidTr="00131206">
        <w:trPr>
          <w:jc w:val="center"/>
        </w:trPr>
        <w:tc>
          <w:tcPr>
            <w:tcW w:w="4320" w:type="dxa"/>
            <w:vAlign w:val="center"/>
          </w:tcPr>
          <w:p w14:paraId="606A0533" w14:textId="790C8A3C" w:rsidR="00933C37" w:rsidRPr="00235C4F" w:rsidRDefault="00933C37" w:rsidP="00933C37">
            <w:pPr>
              <w:pStyle w:val="Figure"/>
              <w:numPr>
                <w:ilvl w:val="0"/>
                <w:numId w:val="5"/>
              </w:numPr>
              <w:ind w:left="427"/>
              <w:rPr>
                <w:rFonts w:ascii="Times New Roman" w:hAnsi="Times New Roman" w:cs="Times New Roman"/>
                <w:sz w:val="20"/>
              </w:rPr>
            </w:pPr>
            <w:r w:rsidRPr="00235C4F">
              <w:rPr>
                <w:rFonts w:ascii="Times New Roman" w:hAnsi="Times New Roman" w:cs="Times New Roman"/>
                <w:sz w:val="20"/>
              </w:rPr>
              <w:t xml:space="preserve">Electricity Sector </w:t>
            </w:r>
            <w:r>
              <w:rPr>
                <w:rFonts w:ascii="Times New Roman" w:hAnsi="Times New Roman" w:cs="Times New Roman"/>
                <w:sz w:val="20"/>
              </w:rPr>
              <w:t>Fuel Demand</w:t>
            </w:r>
          </w:p>
        </w:tc>
        <w:tc>
          <w:tcPr>
            <w:tcW w:w="4675" w:type="dxa"/>
            <w:vAlign w:val="center"/>
          </w:tcPr>
          <w:p w14:paraId="5E567069" w14:textId="2DDB47B0" w:rsidR="00933C37" w:rsidRPr="00235C4F" w:rsidRDefault="00933C37" w:rsidP="00933C37">
            <w:pPr>
              <w:pStyle w:val="Figure"/>
              <w:rPr>
                <w:rFonts w:ascii="Times New Roman" w:hAnsi="Times New Roman" w:cs="Times New Roman"/>
                <w:sz w:val="20"/>
              </w:rPr>
            </w:pPr>
            <w:r w:rsidRPr="00235C4F">
              <w:rPr>
                <w:rFonts w:ascii="Times New Roman" w:hAnsi="Times New Roman" w:cs="Times New Roman"/>
                <w:sz w:val="20"/>
              </w:rPr>
              <w:t xml:space="preserve">(b) </w:t>
            </w:r>
            <w:r>
              <w:rPr>
                <w:rFonts w:ascii="Times New Roman" w:hAnsi="Times New Roman" w:cs="Times New Roman"/>
                <w:sz w:val="20"/>
              </w:rPr>
              <w:t>Non-</w:t>
            </w:r>
            <w:r w:rsidRPr="00235C4F">
              <w:rPr>
                <w:rFonts w:ascii="Times New Roman" w:hAnsi="Times New Roman" w:cs="Times New Roman"/>
                <w:sz w:val="20"/>
              </w:rPr>
              <w:t xml:space="preserve">Electricity Sector </w:t>
            </w:r>
            <w:r>
              <w:rPr>
                <w:rFonts w:ascii="Times New Roman" w:hAnsi="Times New Roman" w:cs="Times New Roman"/>
                <w:sz w:val="20"/>
              </w:rPr>
              <w:t>Fuel Demand</w:t>
            </w:r>
          </w:p>
        </w:tc>
      </w:tr>
    </w:tbl>
    <w:p w14:paraId="3E8F035B" w14:textId="11A5CFF9" w:rsidR="003663C8" w:rsidRDefault="003663C8" w:rsidP="003663C8">
      <w:pPr>
        <w:pStyle w:val="Caption"/>
      </w:pPr>
      <w:bookmarkStart w:id="12" w:name="_Ref11794119"/>
      <w:r>
        <w:t xml:space="preserve">Figure </w:t>
      </w:r>
      <w:fldSimple w:instr=" SEQ Figure \* ARABIC ">
        <w:r w:rsidR="00EE1514">
          <w:rPr>
            <w:noProof/>
          </w:rPr>
          <w:t>11</w:t>
        </w:r>
      </w:fldSimple>
      <w:bookmarkEnd w:id="12"/>
      <w:r>
        <w:t>: Fuel Demand (percent change from the reference level)</w:t>
      </w:r>
    </w:p>
    <w:p w14:paraId="2043CC98" w14:textId="77777777" w:rsidR="00347442" w:rsidRDefault="00347442" w:rsidP="00DC7732">
      <w:pPr>
        <w:keepNext/>
      </w:pPr>
    </w:p>
    <w:p w14:paraId="10B96470" w14:textId="24F958A3" w:rsidR="00E173EE" w:rsidRDefault="00836442" w:rsidP="002D7AD7">
      <w:pPr>
        <w:pStyle w:val="Figure"/>
      </w:pPr>
      <w:r>
        <w:rPr>
          <w:noProof/>
          <w:lang w:eastAsia="zh-CN"/>
        </w:rPr>
        <w:drawing>
          <wp:inline distT="0" distB="0" distL="0" distR="0" wp14:anchorId="4EF1B15B" wp14:editId="3638C486">
            <wp:extent cx="3200400" cy="2176272"/>
            <wp:effectExtent l="0" t="0" r="0" b="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0400" cy="2176272"/>
                    </a:xfrm>
                    <a:prstGeom prst="rect">
                      <a:avLst/>
                    </a:prstGeom>
                    <a:noFill/>
                  </pic:spPr>
                </pic:pic>
              </a:graphicData>
            </a:graphic>
          </wp:inline>
        </w:drawing>
      </w:r>
    </w:p>
    <w:p w14:paraId="7BE16D08" w14:textId="659E29BF" w:rsidR="00DC7732" w:rsidRDefault="00DC7732" w:rsidP="00DC7732">
      <w:pPr>
        <w:pStyle w:val="Caption"/>
      </w:pPr>
      <w:bookmarkStart w:id="13" w:name="_Ref11873057"/>
      <w:r>
        <w:t xml:space="preserve">Figure </w:t>
      </w:r>
      <w:fldSimple w:instr=" SEQ Figure \* ARABIC ">
        <w:r w:rsidR="00EE1514">
          <w:rPr>
            <w:noProof/>
          </w:rPr>
          <w:t>12</w:t>
        </w:r>
      </w:fldSimple>
      <w:bookmarkEnd w:id="13"/>
      <w:r>
        <w:t>: Fuel Producer Prices (percent change from the reference level)</w:t>
      </w:r>
    </w:p>
    <w:p w14:paraId="4E1AAFC0" w14:textId="44FF35A4" w:rsidR="0076746F" w:rsidRPr="00313319" w:rsidRDefault="00CE5368" w:rsidP="0076746F">
      <w:r>
        <w:t>Consistent</w:t>
      </w:r>
      <w:r w:rsidR="00235C4F">
        <w:t xml:space="preserve"> with the </w:t>
      </w:r>
      <w:r w:rsidR="004F25A0">
        <w:t xml:space="preserve">changes </w:t>
      </w:r>
      <w:r w:rsidR="00235C4F">
        <w:t xml:space="preserve">in </w:t>
      </w:r>
      <w:r w:rsidR="004F25A0">
        <w:t>fuel demand</w:t>
      </w:r>
      <w:r w:rsidR="00235C4F">
        <w:t>,</w:t>
      </w:r>
      <w:r w:rsidR="002D387D">
        <w:t xml:space="preserve"> the electricity sector</w:t>
      </w:r>
      <w:r w:rsidR="00235C4F">
        <w:t xml:space="preserve"> emission</w:t>
      </w:r>
      <w:r w:rsidR="002D387D">
        <w:t xml:space="preserve">s decrease </w:t>
      </w:r>
      <w:r w:rsidR="004F25A0">
        <w:t xml:space="preserve">whereas the non-electricity sector emissions increase. </w:t>
      </w:r>
      <w:r w:rsidR="007765F6">
        <w:fldChar w:fldCharType="begin"/>
      </w:r>
      <w:r w:rsidR="007765F6">
        <w:instrText xml:space="preserve"> REF _Ref11831039 \h </w:instrText>
      </w:r>
      <w:r w:rsidR="007765F6">
        <w:fldChar w:fldCharType="separate"/>
      </w:r>
      <w:r w:rsidR="00FD3274">
        <w:t xml:space="preserve">Figure </w:t>
      </w:r>
      <w:r w:rsidR="00FD3274">
        <w:rPr>
          <w:noProof/>
        </w:rPr>
        <w:t>12</w:t>
      </w:r>
      <w:r w:rsidR="007765F6">
        <w:fldChar w:fldCharType="end"/>
      </w:r>
      <w:r w:rsidR="007765F6">
        <w:t xml:space="preserve"> shows </w:t>
      </w:r>
      <w:r w:rsidR="00581A76">
        <w:t xml:space="preserve">the changes in carbon emissions by the electricity and non-electricity sector. </w:t>
      </w:r>
      <w:r w:rsidR="00325ABE">
        <w:t xml:space="preserve">In the </w:t>
      </w:r>
      <w:r w:rsidR="00325ABE" w:rsidRPr="00325ABE">
        <w:t>rps</w:t>
      </w:r>
      <w:r w:rsidR="00325ABE">
        <w:t xml:space="preserve">20 case, the </w:t>
      </w:r>
      <w:r w:rsidR="00313319">
        <w:t>increase in RPS targets by 20</w:t>
      </w:r>
      <w:r w:rsidR="00325ABE">
        <w:t>4</w:t>
      </w:r>
      <w:r w:rsidR="00313319">
        <w:t xml:space="preserve">0 leads to a further reduction of carbon emissions relative to the reference level by about </w:t>
      </w:r>
      <w:r w:rsidR="00325ABE">
        <w:t>200</w:t>
      </w:r>
      <w:r w:rsidR="00313319">
        <w:t xml:space="preserve"> </w:t>
      </w:r>
      <w:r w:rsidR="004A4693">
        <w:t>million metric ton of carbon dioxide (</w:t>
      </w:r>
      <w:r w:rsidR="00313319">
        <w:t>MMTCO</w:t>
      </w:r>
      <w:r w:rsidR="00313319" w:rsidRPr="00313319">
        <w:rPr>
          <w:vertAlign w:val="subscript"/>
        </w:rPr>
        <w:t>2</w:t>
      </w:r>
      <w:r w:rsidR="004A4693" w:rsidRPr="00941A38">
        <w:t>)</w:t>
      </w:r>
      <w:r w:rsidR="00313319">
        <w:t xml:space="preserve"> in the electricity sector and an offsetting increase in the </w:t>
      </w:r>
      <w:r w:rsidR="00313319">
        <w:lastRenderedPageBreak/>
        <w:t xml:space="preserve">non-electricity sector emissions by </w:t>
      </w:r>
      <w:r w:rsidR="00325ABE">
        <w:t xml:space="preserve">about 15 </w:t>
      </w:r>
      <w:r w:rsidR="00313319">
        <w:t>MMTCO</w:t>
      </w:r>
      <w:r w:rsidR="00313319" w:rsidRPr="00313319">
        <w:rPr>
          <w:vertAlign w:val="subscript"/>
        </w:rPr>
        <w:t>2</w:t>
      </w:r>
      <w:r w:rsidR="00313319">
        <w:t>.</w:t>
      </w:r>
      <w:r w:rsidR="004C706D">
        <w:t xml:space="preserve"> Despite the partial offset from the non-electricity sector, the overall emissions decrease by 2-7% in the short run and 3-11% in the long run in the cases we analyzed. </w:t>
      </w:r>
    </w:p>
    <w:p w14:paraId="0FB62476" w14:textId="2367F66A" w:rsidR="00E25D25" w:rsidRDefault="00235C4F" w:rsidP="00511E05">
      <w:pPr>
        <w:pStyle w:val="Figure"/>
      </w:pPr>
      <w:r>
        <w:rPr>
          <w:noProof/>
          <w:lang w:eastAsia="zh-CN"/>
        </w:rPr>
        <w:drawing>
          <wp:inline distT="0" distB="0" distL="0" distR="0" wp14:anchorId="585F945C" wp14:editId="65CB7D96">
            <wp:extent cx="2743200" cy="1645920"/>
            <wp:effectExtent l="0" t="0" r="0" b="0"/>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43200" cy="1645920"/>
                    </a:xfrm>
                    <a:prstGeom prst="rect">
                      <a:avLst/>
                    </a:prstGeom>
                    <a:noFill/>
                  </pic:spPr>
                </pic:pic>
              </a:graphicData>
            </a:graphic>
          </wp:inline>
        </w:drawing>
      </w:r>
      <w:r>
        <w:t xml:space="preserve">  </w:t>
      </w:r>
      <w:r w:rsidR="00991AA2">
        <w:t xml:space="preserve">  </w:t>
      </w:r>
      <w:r>
        <w:t xml:space="preserve"> </w:t>
      </w:r>
      <w:r w:rsidR="00C90D0F">
        <w:rPr>
          <w:noProof/>
          <w:lang w:eastAsia="zh-CN"/>
        </w:rPr>
        <w:drawing>
          <wp:inline distT="0" distB="0" distL="0" distR="0" wp14:anchorId="59D9BB7F" wp14:editId="54E57003">
            <wp:extent cx="2743200" cy="1645920"/>
            <wp:effectExtent l="0" t="0" r="0" b="0"/>
            <wp:docPr id="7168"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0" cy="1645920"/>
                    </a:xfrm>
                    <a:prstGeom prst="rect">
                      <a:avLst/>
                    </a:prstGeom>
                    <a:noFill/>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675"/>
      </w:tblGrid>
      <w:tr w:rsidR="00511E05" w:rsidRPr="00235C4F" w14:paraId="453F8844" w14:textId="77777777" w:rsidTr="00511E05">
        <w:trPr>
          <w:jc w:val="center"/>
        </w:trPr>
        <w:tc>
          <w:tcPr>
            <w:tcW w:w="4320" w:type="dxa"/>
            <w:vAlign w:val="center"/>
          </w:tcPr>
          <w:p w14:paraId="2C15671E" w14:textId="1DE8915C" w:rsidR="00511E05" w:rsidRPr="00235C4F" w:rsidRDefault="00511E05" w:rsidP="00511E05">
            <w:pPr>
              <w:pStyle w:val="Figure"/>
              <w:numPr>
                <w:ilvl w:val="0"/>
                <w:numId w:val="5"/>
              </w:numPr>
              <w:ind w:left="427"/>
              <w:rPr>
                <w:rFonts w:ascii="Times New Roman" w:hAnsi="Times New Roman" w:cs="Times New Roman"/>
                <w:sz w:val="20"/>
              </w:rPr>
            </w:pPr>
            <w:r w:rsidRPr="00235C4F">
              <w:rPr>
                <w:rFonts w:ascii="Times New Roman" w:hAnsi="Times New Roman" w:cs="Times New Roman"/>
                <w:sz w:val="20"/>
              </w:rPr>
              <w:t>Electricity Sector Emissions</w:t>
            </w:r>
          </w:p>
        </w:tc>
        <w:tc>
          <w:tcPr>
            <w:tcW w:w="4675" w:type="dxa"/>
            <w:vAlign w:val="center"/>
          </w:tcPr>
          <w:p w14:paraId="4C21BC3F" w14:textId="45B3883E" w:rsidR="00511E05" w:rsidRPr="00235C4F" w:rsidRDefault="00511E05" w:rsidP="00511E05">
            <w:pPr>
              <w:pStyle w:val="Figure"/>
              <w:rPr>
                <w:rFonts w:ascii="Times New Roman" w:hAnsi="Times New Roman" w:cs="Times New Roman"/>
                <w:sz w:val="20"/>
              </w:rPr>
            </w:pPr>
            <w:r w:rsidRPr="00235C4F">
              <w:rPr>
                <w:rFonts w:ascii="Times New Roman" w:hAnsi="Times New Roman" w:cs="Times New Roman"/>
                <w:sz w:val="20"/>
              </w:rPr>
              <w:t xml:space="preserve">(b) </w:t>
            </w:r>
            <w:r w:rsidR="00235C4F">
              <w:rPr>
                <w:rFonts w:ascii="Times New Roman" w:hAnsi="Times New Roman" w:cs="Times New Roman"/>
                <w:sz w:val="20"/>
              </w:rPr>
              <w:t>Non-</w:t>
            </w:r>
            <w:r w:rsidRPr="00235C4F">
              <w:rPr>
                <w:rFonts w:ascii="Times New Roman" w:hAnsi="Times New Roman" w:cs="Times New Roman"/>
                <w:sz w:val="20"/>
              </w:rPr>
              <w:t>Electricity Sector Emissions</w:t>
            </w:r>
          </w:p>
        </w:tc>
      </w:tr>
    </w:tbl>
    <w:p w14:paraId="241BC647" w14:textId="113C2909" w:rsidR="001377AE" w:rsidRDefault="00DC7732" w:rsidP="002F47C8">
      <w:pPr>
        <w:pStyle w:val="Caption"/>
      </w:pPr>
      <w:bookmarkStart w:id="14" w:name="_Ref11831039"/>
      <w:r>
        <w:t xml:space="preserve">Figure </w:t>
      </w:r>
      <w:fldSimple w:instr=" SEQ Figure \* ARABIC ">
        <w:r w:rsidR="00EE1514">
          <w:rPr>
            <w:noProof/>
          </w:rPr>
          <w:t>13</w:t>
        </w:r>
      </w:fldSimple>
      <w:bookmarkEnd w:id="14"/>
      <w:r>
        <w:t xml:space="preserve">: </w:t>
      </w:r>
      <w:r w:rsidR="0076746F">
        <w:t xml:space="preserve">Carbon </w:t>
      </w:r>
      <w:r>
        <w:t>Emissions (</w:t>
      </w:r>
      <w:r w:rsidR="001F5E93">
        <w:t xml:space="preserve">change from the reference level - </w:t>
      </w:r>
      <w:r>
        <w:t>MMTCO</w:t>
      </w:r>
      <w:r w:rsidRPr="00DC7732">
        <w:rPr>
          <w:vertAlign w:val="subscript"/>
        </w:rPr>
        <w:t>2</w:t>
      </w:r>
      <w:r>
        <w:t>)</w:t>
      </w:r>
    </w:p>
    <w:p w14:paraId="6762D4B6" w14:textId="55BEA4BD" w:rsidR="009C2F9D" w:rsidRPr="002F47C8" w:rsidRDefault="00533010" w:rsidP="005C5A36">
      <w:r>
        <w:t xml:space="preserve">Tighter RPS brings </w:t>
      </w:r>
      <w:r w:rsidR="00AE5285">
        <w:t>about</w:t>
      </w:r>
      <w:r>
        <w:t xml:space="preserve"> two issues: (1) </w:t>
      </w:r>
      <w:r w:rsidR="0078232B">
        <w:t xml:space="preserve">the intermittency of </w:t>
      </w:r>
      <w:r>
        <w:t xml:space="preserve">renewable power </w:t>
      </w:r>
      <w:r w:rsidR="0078232B">
        <w:t xml:space="preserve">supply that challenges </w:t>
      </w:r>
      <w:r>
        <w:t>grid stability;</w:t>
      </w:r>
      <w:bookmarkStart w:id="15" w:name="_GoBack"/>
      <w:bookmarkEnd w:id="15"/>
      <w:r>
        <w:t xml:space="preserve"> </w:t>
      </w:r>
      <w:r w:rsidR="0002553E">
        <w:t xml:space="preserve">and </w:t>
      </w:r>
      <w:r>
        <w:t xml:space="preserve">(2) the </w:t>
      </w:r>
      <w:r w:rsidR="0075315B">
        <w:t xml:space="preserve">power </w:t>
      </w:r>
      <w:r>
        <w:t xml:space="preserve">curtailment driven by the </w:t>
      </w:r>
      <w:r w:rsidR="00F3416B">
        <w:t xml:space="preserve">temporal and spatial </w:t>
      </w:r>
      <w:r>
        <w:t xml:space="preserve">mismatch of the renewable power supply and </w:t>
      </w:r>
      <w:r w:rsidR="00F3416B">
        <w:t xml:space="preserve">the power demand. </w:t>
      </w:r>
      <w:r w:rsidR="0002553E">
        <w:t xml:space="preserve">Grid stability requires stable power supply with </w:t>
      </w:r>
      <w:r w:rsidR="008D4010">
        <w:t>complementary</w:t>
      </w:r>
      <w:r w:rsidR="0002553E">
        <w:t xml:space="preserve"> technologies that can ramp up and supply when wind does not blow and sun is shadowed. </w:t>
      </w:r>
      <w:r w:rsidR="008D4010">
        <w:t xml:space="preserve">The cost of installing, operating and maintaining the complementary technologies is part of the power system cost and does not decline as fast as the renewable capacity increases. </w:t>
      </w:r>
      <w:r w:rsidR="00906FB0">
        <w:t>Gas-fired generation unit is a best candidate complementary technology because it can ramp up fast. However, the results show that gas-fired generation declines much faster than coal-fired generation, consistent with the changes in electricity fuel demand</w:t>
      </w:r>
      <w:r w:rsidR="00040D2E">
        <w:t>.</w:t>
      </w:r>
      <w:r w:rsidR="00906FB0">
        <w:t xml:space="preserve"> </w:t>
      </w:r>
      <w:r w:rsidR="00040D2E">
        <w:t>M</w:t>
      </w:r>
      <w:r w:rsidR="00B4700D">
        <w:t xml:space="preserve">oreover, </w:t>
      </w:r>
      <w:r w:rsidR="00B17424">
        <w:t xml:space="preserve">we found in the results that the curtailment becomes a more pronounced issue when </w:t>
      </w:r>
      <w:r w:rsidR="00B4700D">
        <w:t xml:space="preserve">renewable capacity expands </w:t>
      </w:r>
      <w:r w:rsidR="00B17424">
        <w:t>and supplies more than 30% of electricity</w:t>
      </w:r>
      <w:r w:rsidR="00B72ED9">
        <w:t>, implying</w:t>
      </w:r>
      <w:r w:rsidR="00824C62">
        <w:t xml:space="preserve"> an efficiency loss in </w:t>
      </w:r>
      <w:r w:rsidR="00B72ED9">
        <w:t xml:space="preserve">capacity investment in renewable generation technologies. </w:t>
      </w:r>
    </w:p>
    <w:p w14:paraId="589F0DE4" w14:textId="4D8A5BFF" w:rsidR="00B72ED9" w:rsidRDefault="00040D2E" w:rsidP="00B72ED9">
      <w:r>
        <w:t>T</w:t>
      </w:r>
      <w:r w:rsidR="00147050">
        <w:t>he resulted</w:t>
      </w:r>
      <w:r>
        <w:t xml:space="preserve"> changes </w:t>
      </w:r>
      <w:r w:rsidR="00D830B0">
        <w:t xml:space="preserve">from the model </w:t>
      </w:r>
      <w:r>
        <w:t>lead us to question the effectiveness of renewable capacity expansion for emissions reduction. W</w:t>
      </w:r>
      <w:r w:rsidR="00B72ED9">
        <w:t xml:space="preserve">e derive the marginal investment cost per ton of carbon emission reduction by calculating a ratio of change in total </w:t>
      </w:r>
      <w:r w:rsidR="00B72ED9" w:rsidRPr="005C5A36">
        <w:t xml:space="preserve">investment </w:t>
      </w:r>
      <w:r w:rsidR="00614CCA">
        <w:t>in the electricity sector</w:t>
      </w:r>
      <w:r w:rsidR="000851B8">
        <w:t xml:space="preserve"> </w:t>
      </w:r>
      <w:r w:rsidR="00B72ED9" w:rsidRPr="005C5A36">
        <w:t>that must be devoted to capacity expansion due to increasing renewable generation</w:t>
      </w:r>
      <w:r w:rsidR="00B72ED9">
        <w:t xml:space="preserve"> relative to the reference level to the change in emissions reductions relati</w:t>
      </w:r>
      <w:r w:rsidR="00FD3274">
        <w:t xml:space="preserve">ve to the reference level (see </w:t>
      </w:r>
      <w:r w:rsidR="00FD3274">
        <w:fldChar w:fldCharType="begin"/>
      </w:r>
      <w:r w:rsidR="00FD3274">
        <w:instrText xml:space="preserve"> REF _Ref11874250 \h </w:instrText>
      </w:r>
      <w:r w:rsidR="00FD3274">
        <w:fldChar w:fldCharType="separate"/>
      </w:r>
      <w:r w:rsidR="00EE1514">
        <w:t xml:space="preserve">Figure </w:t>
      </w:r>
      <w:r w:rsidR="00EE1514">
        <w:rPr>
          <w:noProof/>
        </w:rPr>
        <w:t>14</w:t>
      </w:r>
      <w:r w:rsidR="00FD3274">
        <w:fldChar w:fldCharType="end"/>
      </w:r>
      <w:r w:rsidR="00FD3274">
        <w:t>).</w:t>
      </w:r>
      <w:r w:rsidR="00B72ED9">
        <w:t xml:space="preserve"> We focus on the regions with ambitious existing RPS targets with </w:t>
      </w:r>
      <w:r w:rsidR="009E7093">
        <w:t>an</w:t>
      </w:r>
      <w:r w:rsidR="00B72ED9">
        <w:t xml:space="preserve"> anticipation that tighter renewable requirements in these regions may lead to efficiency loss in reducing emissions.</w:t>
      </w:r>
      <w:r w:rsidR="009B43E6">
        <w:t xml:space="preserve"> Both the New England and NY region show higher cost with tighter RPS</w:t>
      </w:r>
      <w:r w:rsidR="000242D5">
        <w:t xml:space="preserve"> targets whereas CA exhibits lower cost with tighter RPS targets that calls for further investigation.</w:t>
      </w:r>
    </w:p>
    <w:p w14:paraId="38AF0394" w14:textId="4A3FB8F8" w:rsidR="000F4832" w:rsidRDefault="000F4832" w:rsidP="00B1587B"/>
    <w:p w14:paraId="09A7D21F" w14:textId="52381E8B" w:rsidR="00077E10" w:rsidRDefault="00077E10" w:rsidP="00077E10">
      <w:pPr>
        <w:pStyle w:val="Figure"/>
      </w:pPr>
      <w:r>
        <w:rPr>
          <w:noProof/>
          <w:lang w:eastAsia="zh-CN"/>
        </w:rPr>
        <w:lastRenderedPageBreak/>
        <w:drawing>
          <wp:inline distT="0" distB="0" distL="0" distR="0" wp14:anchorId="4BEA86DA" wp14:editId="49445190">
            <wp:extent cx="2743200" cy="1645920"/>
            <wp:effectExtent l="0" t="0" r="0" b="0"/>
            <wp:docPr id="7183"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1645920"/>
                    </a:xfrm>
                    <a:prstGeom prst="rect">
                      <a:avLst/>
                    </a:prstGeom>
                    <a:noFill/>
                  </pic:spPr>
                </pic:pic>
              </a:graphicData>
            </a:graphic>
          </wp:inline>
        </w:drawing>
      </w:r>
      <w:r>
        <w:t xml:space="preserve">      </w:t>
      </w:r>
      <w:r>
        <w:rPr>
          <w:noProof/>
          <w:lang w:eastAsia="zh-CN"/>
        </w:rPr>
        <w:drawing>
          <wp:inline distT="0" distB="0" distL="0" distR="0" wp14:anchorId="14EF723B" wp14:editId="0CC9CA5F">
            <wp:extent cx="2743200" cy="1645920"/>
            <wp:effectExtent l="0" t="0" r="0" b="0"/>
            <wp:docPr id="7185" name="Pictur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1645920"/>
                    </a:xfrm>
                    <a:prstGeom prst="rect">
                      <a:avLst/>
                    </a:prstGeom>
                    <a:noFill/>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675"/>
      </w:tblGrid>
      <w:tr w:rsidR="002F47C8" w:rsidRPr="00987BD1" w14:paraId="4949AA2F" w14:textId="77777777" w:rsidTr="00131206">
        <w:trPr>
          <w:jc w:val="center"/>
        </w:trPr>
        <w:tc>
          <w:tcPr>
            <w:tcW w:w="4320" w:type="dxa"/>
            <w:vAlign w:val="center"/>
          </w:tcPr>
          <w:p w14:paraId="323402FB" w14:textId="77777777" w:rsidR="002F47C8" w:rsidRPr="00987BD1" w:rsidRDefault="002F47C8" w:rsidP="00131206">
            <w:pPr>
              <w:pStyle w:val="Figure"/>
              <w:numPr>
                <w:ilvl w:val="0"/>
                <w:numId w:val="6"/>
              </w:numPr>
              <w:rPr>
                <w:rFonts w:ascii="Times New Roman" w:hAnsi="Times New Roman" w:cs="Times New Roman"/>
                <w:sz w:val="20"/>
              </w:rPr>
            </w:pPr>
            <w:r>
              <w:rPr>
                <w:rFonts w:ascii="Times New Roman" w:hAnsi="Times New Roman" w:cs="Times New Roman"/>
                <w:sz w:val="20"/>
              </w:rPr>
              <w:t>New England (NENGL)</w:t>
            </w:r>
          </w:p>
        </w:tc>
        <w:tc>
          <w:tcPr>
            <w:tcW w:w="4675" w:type="dxa"/>
            <w:vAlign w:val="center"/>
          </w:tcPr>
          <w:p w14:paraId="10633735" w14:textId="0048733A" w:rsidR="002F47C8" w:rsidRPr="00987BD1" w:rsidRDefault="002F47C8" w:rsidP="00AE6DF2">
            <w:pPr>
              <w:pStyle w:val="Figure"/>
              <w:numPr>
                <w:ilvl w:val="0"/>
                <w:numId w:val="6"/>
              </w:numPr>
              <w:rPr>
                <w:rFonts w:ascii="Times New Roman" w:hAnsi="Times New Roman" w:cs="Times New Roman"/>
                <w:sz w:val="20"/>
              </w:rPr>
            </w:pPr>
            <w:r>
              <w:rPr>
                <w:rFonts w:ascii="Times New Roman" w:hAnsi="Times New Roman" w:cs="Times New Roman"/>
                <w:sz w:val="20"/>
              </w:rPr>
              <w:t>California (CA)</w:t>
            </w:r>
          </w:p>
        </w:tc>
      </w:tr>
    </w:tbl>
    <w:p w14:paraId="4ABAD726" w14:textId="4DC25393" w:rsidR="002F47C8" w:rsidRDefault="00AE6DF2" w:rsidP="00077E10">
      <w:pPr>
        <w:pStyle w:val="Figure"/>
      </w:pPr>
      <w:r>
        <w:rPr>
          <w:noProof/>
          <w:lang w:eastAsia="zh-CN"/>
        </w:rPr>
        <w:drawing>
          <wp:inline distT="0" distB="0" distL="0" distR="0" wp14:anchorId="358DDF3B" wp14:editId="4F8B3F6C">
            <wp:extent cx="2770632" cy="16459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70632" cy="1645920"/>
                    </a:xfrm>
                    <a:prstGeom prst="rect">
                      <a:avLst/>
                    </a:prstGeom>
                    <a:noFill/>
                  </pic:spPr>
                </pic:pic>
              </a:graphicData>
            </a:graphic>
          </wp:inline>
        </w:drawing>
      </w:r>
      <w: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1B720F" w:rsidRPr="00987BD1" w14:paraId="1409F74E" w14:textId="77777777" w:rsidTr="00131206">
        <w:trPr>
          <w:jc w:val="center"/>
        </w:trPr>
        <w:tc>
          <w:tcPr>
            <w:tcW w:w="4320" w:type="dxa"/>
            <w:vAlign w:val="center"/>
          </w:tcPr>
          <w:p w14:paraId="29DF5CED" w14:textId="7DCFDB77" w:rsidR="001B720F" w:rsidRPr="00987BD1" w:rsidRDefault="001B720F" w:rsidP="002B1203">
            <w:pPr>
              <w:pStyle w:val="Figure"/>
              <w:numPr>
                <w:ilvl w:val="0"/>
                <w:numId w:val="9"/>
              </w:numPr>
              <w:rPr>
                <w:rFonts w:ascii="Times New Roman" w:hAnsi="Times New Roman" w:cs="Times New Roman"/>
                <w:sz w:val="20"/>
              </w:rPr>
            </w:pPr>
            <w:r>
              <w:rPr>
                <w:rFonts w:ascii="Times New Roman" w:hAnsi="Times New Roman" w:cs="Times New Roman"/>
                <w:sz w:val="20"/>
              </w:rPr>
              <w:t>New York (NY)</w:t>
            </w:r>
          </w:p>
        </w:tc>
      </w:tr>
    </w:tbl>
    <w:p w14:paraId="1B9123F2" w14:textId="198822BC" w:rsidR="00E173EE" w:rsidRDefault="00077E10" w:rsidP="00077E10">
      <w:pPr>
        <w:pStyle w:val="Caption"/>
      </w:pPr>
      <w:bookmarkStart w:id="16" w:name="_Ref11874250"/>
      <w:r>
        <w:t xml:space="preserve">Figure </w:t>
      </w:r>
      <w:fldSimple w:instr=" SEQ Figure \* ARABIC ">
        <w:r w:rsidR="00EE1514">
          <w:rPr>
            <w:noProof/>
          </w:rPr>
          <w:t>14</w:t>
        </w:r>
      </w:fldSimple>
      <w:bookmarkEnd w:id="16"/>
      <w:r>
        <w:t xml:space="preserve">: Marginal Investment Cost of Carbon Emissions Reduction </w:t>
      </w:r>
      <w:r w:rsidR="0036325E">
        <w:t xml:space="preserve">in the Electricity Sector </w:t>
      </w:r>
      <w:r>
        <w:t>($/tCO</w:t>
      </w:r>
      <w:r w:rsidRPr="00077E10">
        <w:rPr>
          <w:vertAlign w:val="subscript"/>
        </w:rPr>
        <w:t>2</w:t>
      </w:r>
      <w:r>
        <w:t xml:space="preserve">) </w:t>
      </w:r>
    </w:p>
    <w:p w14:paraId="3D36D269" w14:textId="223043C7" w:rsidR="005E78F4" w:rsidRDefault="00DA3793" w:rsidP="007434C9">
      <w:r>
        <w:t>The</w:t>
      </w:r>
      <w:r w:rsidR="00E44452" w:rsidRPr="005A53F3">
        <w:t xml:space="preserve"> proposed research will serve to inform of potential opportunities for enhancing integration across the U.S. while deploying energy and climate policies at the regional level.</w:t>
      </w:r>
      <w:r w:rsidR="008E0249" w:rsidRPr="005A53F3">
        <w:t xml:space="preserve">  We </w:t>
      </w:r>
      <w:r>
        <w:t>c</w:t>
      </w:r>
      <w:r w:rsidR="008E0249" w:rsidRPr="005A53F3">
        <w:t>ompare our estimates of the marginal cost of carbon reduction and electricity generation under different levels of the RPS to those of other studies that have a less detailed representation of the intermittency and hourly availability of generating resources relative to demand.</w:t>
      </w:r>
      <w:r w:rsidR="00004776" w:rsidRPr="005A53F3">
        <w:t xml:space="preserve"> C</w:t>
      </w:r>
      <w:r w:rsidR="00A62EF7" w:rsidRPr="005A53F3">
        <w:t>urrently we adopt a demand profile with a fixed pattern where all hourly demand scales up or down based on the change in overall demand. Investigating at the time profile of generation cost will help us extend to adopt a build-in demand elasticity that accounts for hourly demand response</w:t>
      </w:r>
      <w:r w:rsidR="00260FEC" w:rsidRPr="005A53F3">
        <w:t>.</w:t>
      </w:r>
    </w:p>
    <w:p w14:paraId="2B55A8FB" w14:textId="1D70477C" w:rsidR="006C451E" w:rsidRDefault="006C451E" w:rsidP="007434C9"/>
    <w:p w14:paraId="777317DE" w14:textId="01CC55AA" w:rsidR="006C451E" w:rsidRDefault="006C451E" w:rsidP="00620475">
      <w:pPr>
        <w:pStyle w:val="Heading1"/>
        <w:numPr>
          <w:ilvl w:val="0"/>
          <w:numId w:val="0"/>
        </w:numPr>
        <w:ind w:left="360" w:hanging="360"/>
      </w:pPr>
      <w:r>
        <w:t>Reference</w:t>
      </w:r>
    </w:p>
    <w:p w14:paraId="78BBF702" w14:textId="3CECBDCB" w:rsidR="008F3B76" w:rsidRPr="003139AF" w:rsidRDefault="008F3B76" w:rsidP="008F3B76">
      <w:r w:rsidRPr="003139AF">
        <w:t xml:space="preserve">Böhringer, B. and T. F. Rutherford, </w:t>
      </w:r>
      <w:r w:rsidR="00780876">
        <w:t xml:space="preserve">2009. </w:t>
      </w:r>
      <w:r w:rsidRPr="003139AF">
        <w:t xml:space="preserve">“Integrated assessment of energy policies: Decomposing top-down and bottom-up,” </w:t>
      </w:r>
      <w:r w:rsidRPr="003139AF">
        <w:rPr>
          <w:i/>
          <w:iCs/>
        </w:rPr>
        <w:t>Journal of Economic Dynamic Control</w:t>
      </w:r>
      <w:r w:rsidRPr="003139AF">
        <w:t>, vol</w:t>
      </w:r>
      <w:r w:rsidR="00780876">
        <w:t>. 33, no. 9, pp. 1648–1661</w:t>
      </w:r>
      <w:r w:rsidRPr="003139AF">
        <w:t>.</w:t>
      </w:r>
    </w:p>
    <w:p w14:paraId="6D41FD6D" w14:textId="77777777" w:rsidR="000073A0" w:rsidRPr="000073A0" w:rsidRDefault="000073A0" w:rsidP="007434C9">
      <w:pPr>
        <w:pStyle w:val="Reference"/>
      </w:pPr>
      <w:r w:rsidRPr="000073A0">
        <w:t>EIA-SEDS [Energy Information Administration – State Energy Data System], 2009. State Energy Data System. Energy Information Administration, Washington, DC.</w:t>
      </w:r>
    </w:p>
    <w:p w14:paraId="63E518C1" w14:textId="5D55CA80" w:rsidR="000073A0" w:rsidRDefault="000073A0" w:rsidP="005A53F3">
      <w:pPr>
        <w:pStyle w:val="Reference"/>
        <w:jc w:val="left"/>
      </w:pPr>
      <w:r w:rsidRPr="000073A0">
        <w:lastRenderedPageBreak/>
        <w:t>EIA [Energy Information Administration], 2018. Annual Energy Outlook 2018. E</w:t>
      </w:r>
      <w:r w:rsidR="005A53F3">
        <w:t xml:space="preserve">nergy Information </w:t>
      </w:r>
      <w:r w:rsidRPr="000073A0">
        <w:t>Administration, Washington, DC. (</w:t>
      </w:r>
      <w:hyperlink r:id="rId27" w:history="1">
        <w:r w:rsidRPr="005A53F3">
          <w:t>https://www.eia.gov/outlooks/archive/aeo18/tables_ref.php</w:t>
        </w:r>
      </w:hyperlink>
      <w:r w:rsidRPr="000073A0">
        <w:t>).</w:t>
      </w:r>
    </w:p>
    <w:p w14:paraId="78ABA25F" w14:textId="42EEDD4A" w:rsidR="006C451E" w:rsidRDefault="006C451E" w:rsidP="005A53F3">
      <w:pPr>
        <w:pStyle w:val="Reference"/>
        <w:jc w:val="left"/>
      </w:pPr>
      <w:r w:rsidRPr="006C451E">
        <w:t>IMPLAN, 2008. State-Level U.S. Data for 2006. MIG Inc., Huntersville, NC. (</w:t>
      </w:r>
      <w:hyperlink r:id="rId28" w:history="1">
        <w:r w:rsidR="008F3B76" w:rsidRPr="005A53F3">
          <w:t>http://support.implan.com</w:t>
        </w:r>
      </w:hyperlink>
      <w:r w:rsidRPr="006C451E">
        <w:t>).</w:t>
      </w:r>
    </w:p>
    <w:p w14:paraId="694BA482" w14:textId="23A1BBC6" w:rsidR="00420F11" w:rsidRDefault="00420F11" w:rsidP="007434C9">
      <w:pPr>
        <w:pStyle w:val="Reference"/>
      </w:pPr>
      <w:r w:rsidRPr="00420F11">
        <w:t>Palmintier, Bryan S.</w:t>
      </w:r>
      <w:r>
        <w:t xml:space="preserve">, 2013. </w:t>
      </w:r>
      <w:r w:rsidRPr="00420F11">
        <w:t>“Incorporating Operational Flexibility into Electric Generation Planning: Impacts and Methods for System Design and Policy Analysis,” Thesis (Ph.D.), Massachusetts Institute of Technology, Eng</w:t>
      </w:r>
      <w:r>
        <w:t>ineering Systems Division.</w:t>
      </w:r>
    </w:p>
    <w:p w14:paraId="7D242C0F" w14:textId="3BD12E86" w:rsidR="008F3B76" w:rsidRPr="003139AF" w:rsidRDefault="008F3B76" w:rsidP="008F3B76">
      <w:r w:rsidRPr="001D514D">
        <w:rPr>
          <w:lang w:val="es-CL"/>
        </w:rPr>
        <w:t>Perez-Arriaga, I. and C. Meseguer,</w:t>
      </w:r>
      <w:r w:rsidR="00780876" w:rsidRPr="001D514D">
        <w:rPr>
          <w:lang w:val="es-CL"/>
        </w:rPr>
        <w:t xml:space="preserve"> 1997.</w:t>
      </w:r>
      <w:r w:rsidRPr="001D514D">
        <w:rPr>
          <w:lang w:val="es-CL"/>
        </w:rPr>
        <w:t xml:space="preserve"> </w:t>
      </w:r>
      <w:r w:rsidRPr="003139AF">
        <w:t>“Wholesale marginal prices in competitive generation markets,” IEEE Trans. Power Syst., vol. 12, no. 2, pp. 710–717.</w:t>
      </w:r>
    </w:p>
    <w:p w14:paraId="7B32CEBF" w14:textId="12B6DA81" w:rsidR="00F136F0" w:rsidRPr="003139AF" w:rsidRDefault="00F136F0" w:rsidP="007434C9">
      <w:r w:rsidRPr="003139AF">
        <w:t>Rausch</w:t>
      </w:r>
      <w:r w:rsidR="00BC23D4" w:rsidRPr="003139AF">
        <w:t>, S.</w:t>
      </w:r>
      <w:r w:rsidRPr="003139AF">
        <w:t xml:space="preserve">, G. E. Metcalf, J. M. Reilly, and S. Paltsev, </w:t>
      </w:r>
      <w:r w:rsidR="00780876">
        <w:t xml:space="preserve">2010. </w:t>
      </w:r>
      <w:r w:rsidRPr="003139AF">
        <w:t xml:space="preserve">“Distributional Implications of Alternative U.S. Greenhouse Gas Control Measures,” </w:t>
      </w:r>
      <w:r w:rsidRPr="003139AF">
        <w:rPr>
          <w:i/>
          <w:iCs/>
        </w:rPr>
        <w:t>B. E. J. Economic Analysis Policy</w:t>
      </w:r>
      <w:r w:rsidRPr="003139AF">
        <w:t xml:space="preserve">, vol. 10, no. 2. </w:t>
      </w:r>
    </w:p>
    <w:p w14:paraId="673275F6" w14:textId="60941AAA" w:rsidR="00F136F0" w:rsidRPr="003139AF" w:rsidRDefault="00F136F0" w:rsidP="007434C9">
      <w:r w:rsidRPr="003139AF">
        <w:t>Rausch</w:t>
      </w:r>
      <w:r w:rsidR="00BC23D4" w:rsidRPr="003139AF">
        <w:t>, S.</w:t>
      </w:r>
      <w:r w:rsidRPr="003139AF">
        <w:t xml:space="preserve">, G. E. Metcalf, and J. M. Reilly, </w:t>
      </w:r>
      <w:r w:rsidR="00780876">
        <w:t xml:space="preserve">2011. </w:t>
      </w:r>
      <w:r w:rsidRPr="003139AF">
        <w:t xml:space="preserve">“Distributional impacts of carbon pricing: A general equilibrium approach with micro-data for households,” </w:t>
      </w:r>
      <w:r w:rsidRPr="003139AF">
        <w:rPr>
          <w:i/>
          <w:iCs/>
        </w:rPr>
        <w:t>Energy Economics</w:t>
      </w:r>
      <w:r w:rsidRPr="003139AF">
        <w:t xml:space="preserve">, vol. 33, no. </w:t>
      </w:r>
      <w:r w:rsidR="00780876">
        <w:t>SUPPL. 1, pp. S20–S33</w:t>
      </w:r>
      <w:r w:rsidRPr="003139AF">
        <w:t xml:space="preserve">. </w:t>
      </w:r>
    </w:p>
    <w:p w14:paraId="15E452E2" w14:textId="50ED0E7F" w:rsidR="00F136F0" w:rsidRPr="003139AF" w:rsidRDefault="00BC23D4" w:rsidP="007434C9">
      <w:r w:rsidRPr="003139AF">
        <w:t xml:space="preserve">Rausch, S. </w:t>
      </w:r>
      <w:r w:rsidR="00F136F0" w:rsidRPr="003139AF">
        <w:t xml:space="preserve">and M. Mowers, </w:t>
      </w:r>
      <w:r w:rsidR="00780876">
        <w:t xml:space="preserve">2014. </w:t>
      </w:r>
      <w:r w:rsidR="00F136F0" w:rsidRPr="003139AF">
        <w:t xml:space="preserve">“Distributional and efficiency impacts of clean and renewable energy standards for electricity,” </w:t>
      </w:r>
      <w:r w:rsidR="00F136F0" w:rsidRPr="003139AF">
        <w:rPr>
          <w:i/>
          <w:iCs/>
        </w:rPr>
        <w:t>Resource Energy Economics</w:t>
      </w:r>
      <w:r w:rsidR="00F136F0" w:rsidRPr="003139AF">
        <w:t>, vol. 36, no. 2, pp. 556–585</w:t>
      </w:r>
      <w:r w:rsidR="00780876">
        <w:t>.</w:t>
      </w:r>
    </w:p>
    <w:p w14:paraId="734C6CE2" w14:textId="24555A17" w:rsidR="00F136F0" w:rsidRDefault="00F136F0" w:rsidP="007434C9">
      <w:r w:rsidRPr="001D514D">
        <w:rPr>
          <w:lang w:val="es-CL"/>
        </w:rPr>
        <w:t xml:space="preserve">Tapia-Ahumada, </w:t>
      </w:r>
      <w:r w:rsidR="00BC23D4" w:rsidRPr="001D514D">
        <w:rPr>
          <w:lang w:val="es-CL"/>
        </w:rPr>
        <w:t xml:space="preserve">K., </w:t>
      </w:r>
      <w:r w:rsidRPr="001D514D">
        <w:rPr>
          <w:lang w:val="es-CL"/>
        </w:rPr>
        <w:t>C. Octaviano, S. Rausch, and I. Pérez-Arriaga,</w:t>
      </w:r>
      <w:r w:rsidR="00780876" w:rsidRPr="001D514D">
        <w:rPr>
          <w:lang w:val="es-CL"/>
        </w:rPr>
        <w:t xml:space="preserve"> 2015.</w:t>
      </w:r>
      <w:r w:rsidRPr="001D514D">
        <w:rPr>
          <w:lang w:val="es-CL"/>
        </w:rPr>
        <w:t xml:space="preserve"> </w:t>
      </w:r>
      <w:r w:rsidRPr="003139AF">
        <w:t xml:space="preserve">“Modeling intermittent renewable electricity technologies in general equilibrium models,” </w:t>
      </w:r>
      <w:r w:rsidRPr="003139AF">
        <w:rPr>
          <w:i/>
          <w:iCs/>
        </w:rPr>
        <w:t>Economic Modeling</w:t>
      </w:r>
      <w:r w:rsidRPr="003139AF">
        <w:t>,</w:t>
      </w:r>
      <w:r w:rsidR="00780876">
        <w:t xml:space="preserve"> vol. 51, pp. 242–262</w:t>
      </w:r>
      <w:r w:rsidRPr="003139AF">
        <w:t>.</w:t>
      </w:r>
    </w:p>
    <w:p w14:paraId="796DF25A" w14:textId="60AC39B8" w:rsidR="006C0386" w:rsidRPr="003139AF" w:rsidRDefault="006C0386" w:rsidP="007434C9">
      <w:r w:rsidRPr="006C0386">
        <w:t xml:space="preserve">UCS (Union of Concerned Scientists), 2012. The UCS EW3 Energy </w:t>
      </w:r>
      <w:r>
        <w:t>Water Database.</w:t>
      </w:r>
      <w:r w:rsidR="00C8630A">
        <w:t xml:space="preserve"> (</w:t>
      </w:r>
      <w:hyperlink r:id="rId29" w:history="1">
        <w:r w:rsidR="00C8630A" w:rsidRPr="00061182">
          <w:rPr>
            <w:rStyle w:val="Hyperlink"/>
          </w:rPr>
          <w:t>https://www.ucsusa.org/sites/default/files/attach/2016/03/UCS-EW3-Energy-Water-Database.xlsx</w:t>
        </w:r>
      </w:hyperlink>
      <w:r w:rsidR="00C8630A">
        <w:t>)</w:t>
      </w:r>
    </w:p>
    <w:p w14:paraId="1956907E" w14:textId="4A2F3FE1" w:rsidR="009352D4" w:rsidRDefault="00BC23D4">
      <w:r w:rsidRPr="003139AF">
        <w:t xml:space="preserve">Yuan, M., G.E. Metcalf, J. Reilly and S. Paltsev, </w:t>
      </w:r>
      <w:r w:rsidR="00780876">
        <w:t xml:space="preserve">2017. </w:t>
      </w:r>
      <w:r w:rsidRPr="003139AF">
        <w:t>“</w:t>
      </w:r>
      <w:hyperlink r:id="rId30" w:history="1">
        <w:r w:rsidRPr="003139AF">
          <w:t>The Revenue Implications of a Carbon Tax</w:t>
        </w:r>
      </w:hyperlink>
      <w:r w:rsidRPr="003139AF">
        <w:t>,” Joint Program Repo</w:t>
      </w:r>
      <w:r w:rsidR="00780876">
        <w:t>rt Series Report 316.</w:t>
      </w:r>
      <w:r w:rsidR="009352D4">
        <w:br w:type="page"/>
      </w:r>
    </w:p>
    <w:p w14:paraId="0966F822" w14:textId="77777777" w:rsidR="009352D4" w:rsidRPr="009352D4" w:rsidRDefault="009352D4" w:rsidP="009352D4">
      <w:pPr>
        <w:pStyle w:val="Heading1"/>
        <w:numPr>
          <w:ilvl w:val="0"/>
          <w:numId w:val="0"/>
        </w:numPr>
        <w:ind w:left="360" w:hanging="360"/>
      </w:pPr>
      <w:r w:rsidRPr="009352D4">
        <w:lastRenderedPageBreak/>
        <w:t>Appendix A: Technology Costs and Operational Performance Parameters</w:t>
      </w:r>
    </w:p>
    <w:p w14:paraId="4E49D524" w14:textId="77777777" w:rsidR="009352D4" w:rsidRDefault="009352D4" w:rsidP="009352D4"/>
    <w:p w14:paraId="0182A70A" w14:textId="3EA7A5D6" w:rsidR="009352D4" w:rsidRPr="009352D4" w:rsidRDefault="009352D4" w:rsidP="009352D4">
      <w:pPr>
        <w:pStyle w:val="Caption"/>
      </w:pPr>
      <w:r w:rsidRPr="009352D4">
        <w:t>Table A</w:t>
      </w:r>
      <w:fldSimple w:instr=" SEQ Table_A \* ARABIC ">
        <w:r w:rsidR="008D6287">
          <w:rPr>
            <w:noProof/>
          </w:rPr>
          <w:t>1</w:t>
        </w:r>
      </w:fldSimple>
      <w:r w:rsidRPr="009352D4">
        <w:t>: Conventional Generation Technologies: Operational Parameters and Performance</w:t>
      </w:r>
    </w:p>
    <w:p w14:paraId="0C4EDFC3" w14:textId="77777777" w:rsidR="009352D4" w:rsidRDefault="009352D4" w:rsidP="009352D4">
      <w:pPr>
        <w:pStyle w:val="Tablesource"/>
      </w:pPr>
      <w:r w:rsidRPr="00143A4F">
        <w:drawing>
          <wp:inline distT="0" distB="0" distL="0" distR="0" wp14:anchorId="5CC51492" wp14:editId="0FB30CF8">
            <wp:extent cx="5763157" cy="1625600"/>
            <wp:effectExtent l="0" t="0" r="952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4279" cy="1625917"/>
                    </a:xfrm>
                    <a:prstGeom prst="rect">
                      <a:avLst/>
                    </a:prstGeom>
                    <a:noFill/>
                    <a:ln>
                      <a:noFill/>
                    </a:ln>
                  </pic:spPr>
                </pic:pic>
              </a:graphicData>
            </a:graphic>
          </wp:inline>
        </w:drawing>
      </w:r>
    </w:p>
    <w:p w14:paraId="48EAE700" w14:textId="77777777" w:rsidR="009352D4" w:rsidRPr="006C4979" w:rsidRDefault="009352D4" w:rsidP="00513254">
      <w:pPr>
        <w:spacing w:line="240" w:lineRule="auto"/>
        <w:ind w:left="180"/>
        <w:rPr>
          <w:sz w:val="18"/>
          <w:szCs w:val="22"/>
        </w:rPr>
      </w:pPr>
      <w:r w:rsidRPr="006C4979">
        <w:rPr>
          <w:sz w:val="18"/>
          <w:szCs w:val="22"/>
        </w:rPr>
        <w:t>Sources: Data mostly based on reports from EIA AEO, NREL’s ReEDS, and 2016 ATB reports.</w:t>
      </w:r>
    </w:p>
    <w:p w14:paraId="76ACC1F4" w14:textId="77777777" w:rsidR="009352D4" w:rsidRDefault="009352D4" w:rsidP="009352D4">
      <w:pPr>
        <w:pStyle w:val="Caption"/>
      </w:pPr>
      <w:bookmarkStart w:id="17" w:name="_Ref11617483"/>
    </w:p>
    <w:bookmarkEnd w:id="17"/>
    <w:p w14:paraId="5C9992CB" w14:textId="05E1561C" w:rsidR="009352D4" w:rsidRPr="009352D4" w:rsidRDefault="009352D4" w:rsidP="009352D4">
      <w:pPr>
        <w:pStyle w:val="Caption"/>
      </w:pPr>
      <w:r w:rsidRPr="009352D4">
        <w:t>Table A</w:t>
      </w:r>
      <w:fldSimple w:instr=" SEQ Table_A \* ARABIC ">
        <w:r w:rsidR="008D6287">
          <w:rPr>
            <w:noProof/>
          </w:rPr>
          <w:t>2</w:t>
        </w:r>
      </w:fldSimple>
      <w:r w:rsidRPr="009352D4">
        <w:t>: Technology Costs (2017$)</w:t>
      </w:r>
    </w:p>
    <w:p w14:paraId="0AA157FB" w14:textId="77777777" w:rsidR="009352D4" w:rsidRDefault="009352D4" w:rsidP="009352D4">
      <w:pPr>
        <w:pStyle w:val="Tablesource"/>
      </w:pPr>
      <w:r w:rsidRPr="00A372E6">
        <w:drawing>
          <wp:inline distT="0" distB="0" distL="0" distR="0" wp14:anchorId="63053718" wp14:editId="5A1F8BFA">
            <wp:extent cx="5943600" cy="25348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534842"/>
                    </a:xfrm>
                    <a:prstGeom prst="rect">
                      <a:avLst/>
                    </a:prstGeom>
                    <a:noFill/>
                    <a:ln>
                      <a:noFill/>
                    </a:ln>
                  </pic:spPr>
                </pic:pic>
              </a:graphicData>
            </a:graphic>
          </wp:inline>
        </w:drawing>
      </w:r>
    </w:p>
    <w:p w14:paraId="6AB8F0AD" w14:textId="77777777" w:rsidR="009352D4" w:rsidRPr="006C4979" w:rsidRDefault="009352D4" w:rsidP="00F05813">
      <w:pPr>
        <w:spacing w:line="240" w:lineRule="auto"/>
        <w:rPr>
          <w:sz w:val="18"/>
          <w:szCs w:val="22"/>
        </w:rPr>
      </w:pPr>
      <w:r w:rsidRPr="006C4979">
        <w:rPr>
          <w:sz w:val="18"/>
          <w:szCs w:val="22"/>
        </w:rPr>
        <w:t>Sources: EIA AEO 2017, NREL ATB 2016, NREL reports.</w:t>
      </w:r>
    </w:p>
    <w:p w14:paraId="53F61B67" w14:textId="77777777" w:rsidR="009352D4" w:rsidRDefault="009352D4" w:rsidP="009352D4">
      <w:pPr>
        <w:spacing w:line="240" w:lineRule="auto"/>
      </w:pPr>
    </w:p>
    <w:p w14:paraId="2386103E" w14:textId="77777777" w:rsidR="009352D4" w:rsidRDefault="009352D4" w:rsidP="009352D4">
      <w:pPr>
        <w:spacing w:line="240" w:lineRule="auto"/>
      </w:pPr>
      <w:r>
        <w:br/>
      </w:r>
    </w:p>
    <w:p w14:paraId="6929DB7C" w14:textId="77777777" w:rsidR="009352D4" w:rsidRDefault="009352D4" w:rsidP="009352D4">
      <w:r>
        <w:br w:type="page"/>
      </w:r>
    </w:p>
    <w:p w14:paraId="05D61066" w14:textId="77777777" w:rsidR="009352D4" w:rsidRPr="001C68E1" w:rsidRDefault="009352D4" w:rsidP="009352D4">
      <w:pPr>
        <w:pStyle w:val="Heading1"/>
        <w:numPr>
          <w:ilvl w:val="0"/>
          <w:numId w:val="0"/>
        </w:numPr>
        <w:ind w:left="360" w:hanging="360"/>
      </w:pPr>
      <w:r w:rsidRPr="001C68E1">
        <w:lastRenderedPageBreak/>
        <w:t xml:space="preserve">Appendix </w:t>
      </w:r>
      <w:r>
        <w:t>B</w:t>
      </w:r>
      <w:r w:rsidRPr="001C68E1">
        <w:t xml:space="preserve">: </w:t>
      </w:r>
      <w:r w:rsidRPr="008564CC">
        <w:t xml:space="preserve">Annual </w:t>
      </w:r>
      <w:r>
        <w:t>D</w:t>
      </w:r>
      <w:r w:rsidRPr="008564CC">
        <w:t xml:space="preserve">emand and </w:t>
      </w:r>
      <w:r>
        <w:t>F</w:t>
      </w:r>
      <w:r w:rsidRPr="008564CC">
        <w:t>uel</w:t>
      </w:r>
      <w:r>
        <w:t xml:space="preserve"> P</w:t>
      </w:r>
      <w:r w:rsidRPr="008564CC">
        <w:t>rices</w:t>
      </w:r>
    </w:p>
    <w:p w14:paraId="003FBF33" w14:textId="77777777" w:rsidR="009352D4" w:rsidRDefault="009352D4" w:rsidP="009352D4">
      <w:pPr>
        <w:spacing w:line="240" w:lineRule="auto"/>
      </w:pPr>
    </w:p>
    <w:p w14:paraId="2896A61A" w14:textId="1A105279" w:rsidR="009352D4" w:rsidRPr="009352D4" w:rsidRDefault="009352D4" w:rsidP="009352D4">
      <w:pPr>
        <w:pStyle w:val="Caption"/>
      </w:pPr>
      <w:r w:rsidRPr="009352D4">
        <w:t>Table B</w:t>
      </w:r>
      <w:fldSimple w:instr=" SEQ Table_B \* ARABIC ">
        <w:r w:rsidR="008D6287">
          <w:rPr>
            <w:noProof/>
          </w:rPr>
          <w:t>1</w:t>
        </w:r>
      </w:fldSimple>
      <w:r w:rsidRPr="009352D4">
        <w:t>: Demand and Fuel Costs (2017$) Projections</w:t>
      </w:r>
    </w:p>
    <w:p w14:paraId="366EEB1F" w14:textId="77777777" w:rsidR="009352D4" w:rsidRDefault="009352D4" w:rsidP="009352D4">
      <w:pPr>
        <w:jc w:val="center"/>
        <w:rPr>
          <w:rFonts w:asciiTheme="majorHAnsi" w:hAnsiTheme="majorHAnsi" w:cstheme="majorHAnsi"/>
        </w:rPr>
      </w:pPr>
      <w:r w:rsidRPr="00A372E6">
        <w:rPr>
          <w:noProof/>
          <w:lang w:eastAsia="zh-CN"/>
        </w:rPr>
        <w:drawing>
          <wp:inline distT="0" distB="0" distL="0" distR="0" wp14:anchorId="0749E41E" wp14:editId="38C114C3">
            <wp:extent cx="3803904" cy="5202936"/>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03904" cy="5202936"/>
                    </a:xfrm>
                    <a:prstGeom prst="rect">
                      <a:avLst/>
                    </a:prstGeom>
                    <a:noFill/>
                    <a:ln>
                      <a:noFill/>
                    </a:ln>
                  </pic:spPr>
                </pic:pic>
              </a:graphicData>
            </a:graphic>
          </wp:inline>
        </w:drawing>
      </w:r>
    </w:p>
    <w:p w14:paraId="583EC48D" w14:textId="77777777" w:rsidR="009352D4" w:rsidRPr="0083486F" w:rsidRDefault="009352D4" w:rsidP="00F05813">
      <w:pPr>
        <w:spacing w:line="240" w:lineRule="auto"/>
        <w:ind w:left="1800"/>
        <w:rPr>
          <w:sz w:val="18"/>
          <w:szCs w:val="22"/>
        </w:rPr>
      </w:pPr>
      <w:r w:rsidRPr="0083486F">
        <w:rPr>
          <w:sz w:val="18"/>
          <w:szCs w:val="22"/>
        </w:rPr>
        <w:t>Sour</w:t>
      </w:r>
      <w:r>
        <w:rPr>
          <w:sz w:val="18"/>
          <w:szCs w:val="22"/>
        </w:rPr>
        <w:t>ce: EIA AEO 2017 report.</w:t>
      </w:r>
    </w:p>
    <w:p w14:paraId="7B072937" w14:textId="77777777" w:rsidR="009352D4" w:rsidRPr="003139AF" w:rsidRDefault="009352D4" w:rsidP="009352D4"/>
    <w:p w14:paraId="7426646B" w14:textId="3EA83745" w:rsidR="008D6287" w:rsidRDefault="008D6287">
      <w:pPr>
        <w:jc w:val="left"/>
      </w:pPr>
      <w:r>
        <w:br w:type="page"/>
      </w:r>
    </w:p>
    <w:p w14:paraId="4E66B88C" w14:textId="2AA18808" w:rsidR="008D6287" w:rsidRPr="008D6287" w:rsidRDefault="008D6287" w:rsidP="008D6287">
      <w:pPr>
        <w:pStyle w:val="Heading1"/>
        <w:numPr>
          <w:ilvl w:val="0"/>
          <w:numId w:val="0"/>
        </w:numPr>
        <w:ind w:left="360" w:hanging="360"/>
      </w:pPr>
      <w:bookmarkStart w:id="18" w:name="_Ref11874610"/>
      <w:r w:rsidRPr="001C68E1">
        <w:lastRenderedPageBreak/>
        <w:t xml:space="preserve">Appendix </w:t>
      </w:r>
      <w:r>
        <w:t>C</w:t>
      </w:r>
      <w:r w:rsidRPr="001C68E1">
        <w:t xml:space="preserve">: </w:t>
      </w:r>
      <w:r w:rsidRPr="008D6287">
        <w:t>RPS Levels versus Electricity Demand</w:t>
      </w:r>
      <w:r>
        <w:t xml:space="preserve"> for New England and California</w:t>
      </w:r>
      <w:bookmarkEnd w:id="18"/>
    </w:p>
    <w:p w14:paraId="565D20D1" w14:textId="11AA321B" w:rsidR="009352D4" w:rsidRDefault="009352D4" w:rsidP="007434C9"/>
    <w:p w14:paraId="4924B401" w14:textId="77777777" w:rsidR="008D6287" w:rsidRDefault="008D6287" w:rsidP="008D6287">
      <w:pPr>
        <w:keepNext/>
      </w:pPr>
      <w:r w:rsidRPr="00AB66A7">
        <w:rPr>
          <w:noProof/>
          <w:lang w:eastAsia="zh-CN"/>
        </w:rPr>
        <w:drawing>
          <wp:inline distT="0" distB="0" distL="0" distR="0" wp14:anchorId="319F5840" wp14:editId="49096125">
            <wp:extent cx="5943600" cy="2703682"/>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703682"/>
                    </a:xfrm>
                    <a:prstGeom prst="rect">
                      <a:avLst/>
                    </a:prstGeom>
                    <a:noFill/>
                    <a:ln>
                      <a:noFill/>
                    </a:ln>
                  </pic:spPr>
                </pic:pic>
              </a:graphicData>
            </a:graphic>
          </wp:inline>
        </w:drawing>
      </w:r>
    </w:p>
    <w:p w14:paraId="201A724B" w14:textId="7B02B1D6" w:rsidR="008D6287" w:rsidRPr="00AB66A7" w:rsidRDefault="005A53F3" w:rsidP="005A53F3">
      <w:pPr>
        <w:pStyle w:val="Caption"/>
      </w:pPr>
      <w:r>
        <w:t>Figure C</w:t>
      </w:r>
      <w:fldSimple w:instr=" SEQ Figure_C \* ARABIC ">
        <w:r>
          <w:rPr>
            <w:noProof/>
          </w:rPr>
          <w:t>1</w:t>
        </w:r>
      </w:fldSimple>
      <w:r w:rsidR="008D6287">
        <w:t>:</w:t>
      </w:r>
      <w:r w:rsidR="008D6287" w:rsidRPr="00AB66A7">
        <w:t xml:space="preserve"> RPS Levels versus Electricity Demand [GWh.yr] for </w:t>
      </w:r>
      <w:r w:rsidR="008D6287">
        <w:t>New England</w:t>
      </w:r>
      <w:r w:rsidR="008D6287" w:rsidRPr="00AB66A7">
        <w:t xml:space="preserve"> for Ref, RPS20, RPS40 and RPS50 cases</w:t>
      </w:r>
    </w:p>
    <w:p w14:paraId="7117A212" w14:textId="2E749367" w:rsidR="008D6287" w:rsidRDefault="008D6287" w:rsidP="007434C9"/>
    <w:p w14:paraId="4947A1F2" w14:textId="2EBD662A" w:rsidR="008D6287" w:rsidRDefault="008D6287" w:rsidP="007434C9"/>
    <w:p w14:paraId="2E83FC82" w14:textId="77777777" w:rsidR="008D6287" w:rsidRDefault="008D6287" w:rsidP="008D6287">
      <w:pPr>
        <w:keepNext/>
        <w:jc w:val="center"/>
      </w:pPr>
      <w:r w:rsidRPr="00BB264D">
        <w:rPr>
          <w:noProof/>
          <w:lang w:eastAsia="zh-CN"/>
        </w:rPr>
        <w:drawing>
          <wp:inline distT="0" distB="0" distL="0" distR="0" wp14:anchorId="3C1F0619" wp14:editId="0D39D3BD">
            <wp:extent cx="5943600" cy="2703682"/>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703682"/>
                    </a:xfrm>
                    <a:prstGeom prst="rect">
                      <a:avLst/>
                    </a:prstGeom>
                    <a:noFill/>
                    <a:ln>
                      <a:noFill/>
                    </a:ln>
                  </pic:spPr>
                </pic:pic>
              </a:graphicData>
            </a:graphic>
          </wp:inline>
        </w:drawing>
      </w:r>
    </w:p>
    <w:p w14:paraId="187ADA8D" w14:textId="4116314E" w:rsidR="008D6287" w:rsidRDefault="005A53F3" w:rsidP="005A53F3">
      <w:pPr>
        <w:pStyle w:val="Caption"/>
      </w:pPr>
      <w:r>
        <w:t>Figure C</w:t>
      </w:r>
      <w:fldSimple w:instr=" SEQ Figure_C \* ARABIC ">
        <w:r>
          <w:rPr>
            <w:noProof/>
          </w:rPr>
          <w:t>2</w:t>
        </w:r>
      </w:fldSimple>
      <w:r w:rsidR="008D6287" w:rsidRPr="005A53F3">
        <w:rPr>
          <w:rStyle w:val="CaptionFigChar"/>
        </w:rPr>
        <w:t>: RPS Levels versus Electricity Demand [GWh.yr] for California for Ref, RPS20,</w:t>
      </w:r>
      <w:r w:rsidR="008D6287" w:rsidRPr="00BB264D">
        <w:t xml:space="preserve"> RPS40 and RPS50 cases</w:t>
      </w:r>
    </w:p>
    <w:p w14:paraId="3305131B" w14:textId="77777777" w:rsidR="008D6287" w:rsidRPr="003139AF" w:rsidRDefault="008D6287" w:rsidP="007434C9"/>
    <w:sectPr w:rsidR="008D6287" w:rsidRPr="003139AF">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5C270" w14:textId="77777777" w:rsidR="00564455" w:rsidRDefault="00564455" w:rsidP="007434C9">
      <w:r>
        <w:separator/>
      </w:r>
    </w:p>
  </w:endnote>
  <w:endnote w:type="continuationSeparator" w:id="0">
    <w:p w14:paraId="19D8C9AE" w14:textId="77777777" w:rsidR="00564455" w:rsidRDefault="00564455" w:rsidP="00743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0"/>
    <w:family w:val="roman"/>
    <w:notTrueType/>
    <w:pitch w:val="default"/>
  </w:font>
  <w:font w:name="DengXian Light">
    <w:altName w:val="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724058"/>
      <w:docPartObj>
        <w:docPartGallery w:val="Page Numbers (Bottom of Page)"/>
        <w:docPartUnique/>
      </w:docPartObj>
    </w:sdtPr>
    <w:sdtEndPr>
      <w:rPr>
        <w:noProof/>
      </w:rPr>
    </w:sdtEndPr>
    <w:sdtContent>
      <w:p w14:paraId="6DB8CC83" w14:textId="09D9801F" w:rsidR="00AC0762" w:rsidRDefault="00AC0762">
        <w:pPr>
          <w:pStyle w:val="Footer"/>
          <w:jc w:val="center"/>
        </w:pPr>
        <w:r>
          <w:fldChar w:fldCharType="begin"/>
        </w:r>
        <w:r>
          <w:instrText xml:space="preserve"> PAGE   \* MERGEFORMAT </w:instrText>
        </w:r>
        <w:r>
          <w:fldChar w:fldCharType="separate"/>
        </w:r>
        <w:r w:rsidR="00145064">
          <w:rPr>
            <w:noProof/>
          </w:rPr>
          <w:t>1</w:t>
        </w:r>
        <w:r>
          <w:rPr>
            <w:noProof/>
          </w:rPr>
          <w:fldChar w:fldCharType="end"/>
        </w:r>
      </w:p>
    </w:sdtContent>
  </w:sdt>
  <w:p w14:paraId="0AAB3D55" w14:textId="77777777" w:rsidR="00AC0762" w:rsidRDefault="00AC0762" w:rsidP="00743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F6DA5" w14:textId="77777777" w:rsidR="00564455" w:rsidRDefault="00564455" w:rsidP="007434C9">
      <w:r>
        <w:separator/>
      </w:r>
    </w:p>
  </w:footnote>
  <w:footnote w:type="continuationSeparator" w:id="0">
    <w:p w14:paraId="3B9D1716" w14:textId="77777777" w:rsidR="00564455" w:rsidRDefault="00564455" w:rsidP="007434C9">
      <w:r>
        <w:continuationSeparator/>
      </w:r>
    </w:p>
  </w:footnote>
  <w:footnote w:type="continuationNotice" w:id="1">
    <w:p w14:paraId="43E63F10" w14:textId="77777777" w:rsidR="00564455" w:rsidRPr="001847E5" w:rsidRDefault="00564455" w:rsidP="001847E5">
      <w:pPr>
        <w:pStyle w:val="Footer"/>
      </w:pPr>
    </w:p>
  </w:footnote>
  <w:footnote w:id="2">
    <w:p w14:paraId="7CFBFD70" w14:textId="77777777" w:rsidR="00AC0762" w:rsidRDefault="00AC0762" w:rsidP="008D6287">
      <w:pPr>
        <w:pStyle w:val="FootnoteText"/>
      </w:pPr>
      <w:r>
        <w:rPr>
          <w:rStyle w:val="FootnoteReference"/>
        </w:rPr>
        <w:footnoteRef/>
      </w:r>
      <w:r>
        <w:t xml:space="preserve"> Corresponding authors: </w:t>
      </w:r>
      <w:hyperlink r:id="rId1" w:history="1">
        <w:r w:rsidRPr="00D65318">
          <w:rPr>
            <w:rStyle w:val="Hyperlink"/>
          </w:rPr>
          <w:t>yuanmei@mit.edu</w:t>
        </w:r>
      </w:hyperlink>
      <w:r>
        <w:t xml:space="preserve">, </w:t>
      </w:r>
      <w:hyperlink r:id="rId2" w:history="1">
        <w:r w:rsidRPr="00D65318">
          <w:rPr>
            <w:rStyle w:val="Hyperlink"/>
          </w:rPr>
          <w:t>katapia@mit.edu</w:t>
        </w:r>
      </w:hyperlink>
      <w:r>
        <w:t xml:space="preserve"> </w:t>
      </w:r>
    </w:p>
  </w:footnote>
  <w:footnote w:id="3">
    <w:p w14:paraId="1682A16D" w14:textId="2A1CE456" w:rsidR="00AC0762" w:rsidRDefault="00AC0762" w:rsidP="003C24F7">
      <w:pPr>
        <w:pStyle w:val="FootnoteText"/>
      </w:pPr>
      <w:r>
        <w:rPr>
          <w:rStyle w:val="FootnoteReference"/>
        </w:rPr>
        <w:footnoteRef/>
      </w:r>
      <w:r>
        <w:t xml:space="preserve"> </w:t>
      </w:r>
      <w:r w:rsidRPr="003C24F7">
        <w:t>Lacking information on ownership of the electricity sector, we allocate electricity profit/loss to households in proportion to capital income.</w:t>
      </w:r>
    </w:p>
  </w:footnote>
  <w:footnote w:id="4">
    <w:p w14:paraId="144BAEB9" w14:textId="367B5034" w:rsidR="00AC0762" w:rsidRDefault="00AC0762" w:rsidP="003C24F7">
      <w:pPr>
        <w:pStyle w:val="FootnoteText"/>
      </w:pPr>
      <w:r>
        <w:rPr>
          <w:rStyle w:val="FootnoteReference"/>
        </w:rPr>
        <w:footnoteRef/>
      </w:r>
      <w:r>
        <w:t xml:space="preserve"> Rather than running iterations between USREP and EleMod in the reference scenario, we simplify the model linking process by calibrating USREP to EleMod without sending feedback in prices of fuel supply, capital and labor supply back to EleMod. </w:t>
      </w:r>
    </w:p>
  </w:footnote>
  <w:footnote w:id="5">
    <w:p w14:paraId="3C8C06E0" w14:textId="6A6DCA7C" w:rsidR="00AC0762" w:rsidRDefault="00AC0762">
      <w:pPr>
        <w:pStyle w:val="FootnoteText"/>
      </w:pPr>
      <w:r>
        <w:rPr>
          <w:rStyle w:val="FootnoteReference"/>
        </w:rPr>
        <w:footnoteRef/>
      </w:r>
      <w:r>
        <w:t xml:space="preserve"> Since fuel prices are not calibrated in the reference case, we pass the percent change of fuel supply prices relative to the reference case from USREP to EleMod. Despite an omission in fuel prices convergence, this approach maintains consistency in fuel price response to generation fuel demand changes.</w:t>
      </w:r>
    </w:p>
  </w:footnote>
  <w:footnote w:id="6">
    <w:p w14:paraId="3ADCAC18" w14:textId="77777777" w:rsidR="00AC0762" w:rsidRDefault="00AC0762" w:rsidP="001D514D">
      <w:pPr>
        <w:pStyle w:val="FootnoteText"/>
      </w:pPr>
      <w:r>
        <w:rPr>
          <w:rStyle w:val="FootnoteReference"/>
        </w:rPr>
        <w:footnoteRef/>
      </w:r>
      <w:r>
        <w:t xml:space="preserve"> Our datasets include only onshore wind and utility scale PV, which depending on the quality of the regional resource, their capacity factors are in average 31% for wind and 18% for solar.  </w:t>
      </w:r>
    </w:p>
  </w:footnote>
  <w:footnote w:id="7">
    <w:p w14:paraId="5BD14B94" w14:textId="561D0055" w:rsidR="00AC0762" w:rsidRPr="0077456A" w:rsidRDefault="00AC0762" w:rsidP="0077456A">
      <w:pPr>
        <w:pStyle w:val="FootnoteText"/>
      </w:pPr>
      <w:r>
        <w:rPr>
          <w:rStyle w:val="FootnoteReference"/>
        </w:rPr>
        <w:footnoteRef/>
      </w:r>
      <w:r>
        <w:t xml:space="preserve"> Trade levels can be observed in the figures as the </w:t>
      </w:r>
      <w:r w:rsidRPr="0077456A">
        <w:t>difference between black dashed (</w:t>
      </w:r>
      <w:r>
        <w:t>ELE</w:t>
      </w:r>
      <w:r w:rsidRPr="0077456A">
        <w:t xml:space="preserve">) lines and </w:t>
      </w:r>
      <w:r>
        <w:t>technology stacked bars.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91412"/>
    <w:multiLevelType w:val="hybridMultilevel"/>
    <w:tmpl w:val="8C6C9720"/>
    <w:lvl w:ilvl="0" w:tplc="15E65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714FB"/>
    <w:multiLevelType w:val="hybridMultilevel"/>
    <w:tmpl w:val="4CB0628A"/>
    <w:lvl w:ilvl="0" w:tplc="6C4E8ED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6D1CCB"/>
    <w:multiLevelType w:val="hybridMultilevel"/>
    <w:tmpl w:val="8C6C9720"/>
    <w:lvl w:ilvl="0" w:tplc="15E65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B1470"/>
    <w:multiLevelType w:val="multilevel"/>
    <w:tmpl w:val="AF98E51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EBE10AB"/>
    <w:multiLevelType w:val="hybridMultilevel"/>
    <w:tmpl w:val="8C6C9720"/>
    <w:lvl w:ilvl="0" w:tplc="15E65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6070EF"/>
    <w:multiLevelType w:val="hybridMultilevel"/>
    <w:tmpl w:val="8C6C9720"/>
    <w:lvl w:ilvl="0" w:tplc="15E65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D9686E"/>
    <w:multiLevelType w:val="hybridMultilevel"/>
    <w:tmpl w:val="964C5154"/>
    <w:lvl w:ilvl="0" w:tplc="7C3C8B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1E1723"/>
    <w:multiLevelType w:val="hybridMultilevel"/>
    <w:tmpl w:val="96BA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D558D7"/>
    <w:multiLevelType w:val="hybridMultilevel"/>
    <w:tmpl w:val="2580E54E"/>
    <w:lvl w:ilvl="0" w:tplc="9BA8F0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8"/>
  </w:num>
  <w:num w:numId="5">
    <w:abstractNumId w:val="2"/>
  </w:num>
  <w:num w:numId="6">
    <w:abstractNumId w:val="4"/>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C1B"/>
    <w:rsid w:val="00004776"/>
    <w:rsid w:val="000073A0"/>
    <w:rsid w:val="000125DF"/>
    <w:rsid w:val="0001274A"/>
    <w:rsid w:val="0001673D"/>
    <w:rsid w:val="0002075A"/>
    <w:rsid w:val="000242D5"/>
    <w:rsid w:val="0002553E"/>
    <w:rsid w:val="00037426"/>
    <w:rsid w:val="00040BAB"/>
    <w:rsid w:val="00040D2E"/>
    <w:rsid w:val="00063389"/>
    <w:rsid w:val="00063D83"/>
    <w:rsid w:val="0006450B"/>
    <w:rsid w:val="00065E84"/>
    <w:rsid w:val="0006680C"/>
    <w:rsid w:val="00073CE4"/>
    <w:rsid w:val="00074C01"/>
    <w:rsid w:val="00077E10"/>
    <w:rsid w:val="000801D9"/>
    <w:rsid w:val="00082CC0"/>
    <w:rsid w:val="000851B8"/>
    <w:rsid w:val="000874A1"/>
    <w:rsid w:val="0009102D"/>
    <w:rsid w:val="00093AEC"/>
    <w:rsid w:val="000953ED"/>
    <w:rsid w:val="000A1072"/>
    <w:rsid w:val="000A12CC"/>
    <w:rsid w:val="000A13B6"/>
    <w:rsid w:val="000B4588"/>
    <w:rsid w:val="000C5EBB"/>
    <w:rsid w:val="000D3469"/>
    <w:rsid w:val="000D43FC"/>
    <w:rsid w:val="000E2BEE"/>
    <w:rsid w:val="000F187D"/>
    <w:rsid w:val="000F4832"/>
    <w:rsid w:val="00103C97"/>
    <w:rsid w:val="00131206"/>
    <w:rsid w:val="001377AE"/>
    <w:rsid w:val="00142AA2"/>
    <w:rsid w:val="00145064"/>
    <w:rsid w:val="00147050"/>
    <w:rsid w:val="00151FBE"/>
    <w:rsid w:val="001527FB"/>
    <w:rsid w:val="00165F8B"/>
    <w:rsid w:val="001818B9"/>
    <w:rsid w:val="00184092"/>
    <w:rsid w:val="001847E5"/>
    <w:rsid w:val="0019016D"/>
    <w:rsid w:val="00190616"/>
    <w:rsid w:val="001938FB"/>
    <w:rsid w:val="001B49F5"/>
    <w:rsid w:val="001B720F"/>
    <w:rsid w:val="001B7EDD"/>
    <w:rsid w:val="001C0A9D"/>
    <w:rsid w:val="001C1312"/>
    <w:rsid w:val="001C2AA8"/>
    <w:rsid w:val="001C7C28"/>
    <w:rsid w:val="001D514D"/>
    <w:rsid w:val="001F2B79"/>
    <w:rsid w:val="001F4650"/>
    <w:rsid w:val="001F525F"/>
    <w:rsid w:val="001F5E93"/>
    <w:rsid w:val="00235AEB"/>
    <w:rsid w:val="00235C4F"/>
    <w:rsid w:val="0023694E"/>
    <w:rsid w:val="002434A5"/>
    <w:rsid w:val="002476B4"/>
    <w:rsid w:val="002561BE"/>
    <w:rsid w:val="00260FEC"/>
    <w:rsid w:val="0026280E"/>
    <w:rsid w:val="00273DDB"/>
    <w:rsid w:val="00274A09"/>
    <w:rsid w:val="00281B79"/>
    <w:rsid w:val="00282A8C"/>
    <w:rsid w:val="002A16A2"/>
    <w:rsid w:val="002B1203"/>
    <w:rsid w:val="002C07BA"/>
    <w:rsid w:val="002C7FE5"/>
    <w:rsid w:val="002D0216"/>
    <w:rsid w:val="002D387D"/>
    <w:rsid w:val="002D4CA8"/>
    <w:rsid w:val="002D7AD7"/>
    <w:rsid w:val="002F47C8"/>
    <w:rsid w:val="00313319"/>
    <w:rsid w:val="00313456"/>
    <w:rsid w:val="003139AF"/>
    <w:rsid w:val="003163E2"/>
    <w:rsid w:val="00325583"/>
    <w:rsid w:val="00325652"/>
    <w:rsid w:val="00325ABE"/>
    <w:rsid w:val="00347442"/>
    <w:rsid w:val="0035065A"/>
    <w:rsid w:val="00351538"/>
    <w:rsid w:val="003551ED"/>
    <w:rsid w:val="0036325E"/>
    <w:rsid w:val="003663C8"/>
    <w:rsid w:val="003663DC"/>
    <w:rsid w:val="00376D02"/>
    <w:rsid w:val="00385851"/>
    <w:rsid w:val="003975F4"/>
    <w:rsid w:val="003A1D5B"/>
    <w:rsid w:val="003A445C"/>
    <w:rsid w:val="003C24F7"/>
    <w:rsid w:val="003C587C"/>
    <w:rsid w:val="003D4ED9"/>
    <w:rsid w:val="003E2865"/>
    <w:rsid w:val="00404ADD"/>
    <w:rsid w:val="00420F11"/>
    <w:rsid w:val="004242B7"/>
    <w:rsid w:val="00427266"/>
    <w:rsid w:val="00430409"/>
    <w:rsid w:val="004434CD"/>
    <w:rsid w:val="0046567D"/>
    <w:rsid w:val="00466FE5"/>
    <w:rsid w:val="00470B0B"/>
    <w:rsid w:val="0048253A"/>
    <w:rsid w:val="004827D8"/>
    <w:rsid w:val="00482A53"/>
    <w:rsid w:val="004859DD"/>
    <w:rsid w:val="00487271"/>
    <w:rsid w:val="00492E41"/>
    <w:rsid w:val="00494462"/>
    <w:rsid w:val="004944CD"/>
    <w:rsid w:val="004A27A5"/>
    <w:rsid w:val="004A4693"/>
    <w:rsid w:val="004A4A90"/>
    <w:rsid w:val="004B21F8"/>
    <w:rsid w:val="004B7B30"/>
    <w:rsid w:val="004C3C80"/>
    <w:rsid w:val="004C706D"/>
    <w:rsid w:val="004D0324"/>
    <w:rsid w:val="004D4264"/>
    <w:rsid w:val="004D42C1"/>
    <w:rsid w:val="004E3BE2"/>
    <w:rsid w:val="004F00F2"/>
    <w:rsid w:val="004F25A0"/>
    <w:rsid w:val="004F6895"/>
    <w:rsid w:val="00502DA7"/>
    <w:rsid w:val="00505008"/>
    <w:rsid w:val="00511E05"/>
    <w:rsid w:val="00513254"/>
    <w:rsid w:val="00514F73"/>
    <w:rsid w:val="0051642C"/>
    <w:rsid w:val="00521C28"/>
    <w:rsid w:val="00527DDA"/>
    <w:rsid w:val="005324C0"/>
    <w:rsid w:val="00533010"/>
    <w:rsid w:val="00537B98"/>
    <w:rsid w:val="00551766"/>
    <w:rsid w:val="00552299"/>
    <w:rsid w:val="00564455"/>
    <w:rsid w:val="00566DD1"/>
    <w:rsid w:val="00570886"/>
    <w:rsid w:val="00581A76"/>
    <w:rsid w:val="005951E7"/>
    <w:rsid w:val="00597CD8"/>
    <w:rsid w:val="005A0AC6"/>
    <w:rsid w:val="005A2E70"/>
    <w:rsid w:val="005A53F3"/>
    <w:rsid w:val="005A7936"/>
    <w:rsid w:val="005B462A"/>
    <w:rsid w:val="005B6D90"/>
    <w:rsid w:val="005C1F83"/>
    <w:rsid w:val="005C3C88"/>
    <w:rsid w:val="005C59BE"/>
    <w:rsid w:val="005C5A36"/>
    <w:rsid w:val="005C66E1"/>
    <w:rsid w:val="005C7873"/>
    <w:rsid w:val="005E33D8"/>
    <w:rsid w:val="005E3EC2"/>
    <w:rsid w:val="005E4930"/>
    <w:rsid w:val="005E6104"/>
    <w:rsid w:val="005E78F4"/>
    <w:rsid w:val="005F5B6D"/>
    <w:rsid w:val="006135EF"/>
    <w:rsid w:val="00613FF3"/>
    <w:rsid w:val="00614CCA"/>
    <w:rsid w:val="00620475"/>
    <w:rsid w:val="00627701"/>
    <w:rsid w:val="006321F1"/>
    <w:rsid w:val="00632C8D"/>
    <w:rsid w:val="00651985"/>
    <w:rsid w:val="00656BFD"/>
    <w:rsid w:val="006579AB"/>
    <w:rsid w:val="006623BA"/>
    <w:rsid w:val="006658DD"/>
    <w:rsid w:val="00667671"/>
    <w:rsid w:val="006701D4"/>
    <w:rsid w:val="00670609"/>
    <w:rsid w:val="00677280"/>
    <w:rsid w:val="00686E7C"/>
    <w:rsid w:val="006A0A84"/>
    <w:rsid w:val="006A7283"/>
    <w:rsid w:val="006B1B13"/>
    <w:rsid w:val="006B3200"/>
    <w:rsid w:val="006B5A83"/>
    <w:rsid w:val="006C0386"/>
    <w:rsid w:val="006C451E"/>
    <w:rsid w:val="006C4979"/>
    <w:rsid w:val="006D05D4"/>
    <w:rsid w:val="006D05E3"/>
    <w:rsid w:val="006D0B73"/>
    <w:rsid w:val="006E3B6A"/>
    <w:rsid w:val="006E4287"/>
    <w:rsid w:val="006F27F2"/>
    <w:rsid w:val="006F3DA3"/>
    <w:rsid w:val="006F6678"/>
    <w:rsid w:val="007011F1"/>
    <w:rsid w:val="00701E23"/>
    <w:rsid w:val="007118DD"/>
    <w:rsid w:val="00715E90"/>
    <w:rsid w:val="00726D5D"/>
    <w:rsid w:val="00726E34"/>
    <w:rsid w:val="00726F99"/>
    <w:rsid w:val="00731695"/>
    <w:rsid w:val="007434C9"/>
    <w:rsid w:val="007467E3"/>
    <w:rsid w:val="00751938"/>
    <w:rsid w:val="00752542"/>
    <w:rsid w:val="0075315B"/>
    <w:rsid w:val="00753B8F"/>
    <w:rsid w:val="0076175E"/>
    <w:rsid w:val="0076286D"/>
    <w:rsid w:val="0076746F"/>
    <w:rsid w:val="00767DEA"/>
    <w:rsid w:val="0077456A"/>
    <w:rsid w:val="007765F6"/>
    <w:rsid w:val="00780876"/>
    <w:rsid w:val="0078232B"/>
    <w:rsid w:val="007873BB"/>
    <w:rsid w:val="0079402F"/>
    <w:rsid w:val="007B02F9"/>
    <w:rsid w:val="007D190A"/>
    <w:rsid w:val="007D7283"/>
    <w:rsid w:val="007E260A"/>
    <w:rsid w:val="007E33A8"/>
    <w:rsid w:val="007E3494"/>
    <w:rsid w:val="007F4F66"/>
    <w:rsid w:val="007F5562"/>
    <w:rsid w:val="007F7965"/>
    <w:rsid w:val="007F7D5C"/>
    <w:rsid w:val="00823EEA"/>
    <w:rsid w:val="00824C62"/>
    <w:rsid w:val="00826CEA"/>
    <w:rsid w:val="00836442"/>
    <w:rsid w:val="00836C22"/>
    <w:rsid w:val="00860938"/>
    <w:rsid w:val="008657D2"/>
    <w:rsid w:val="00867E8F"/>
    <w:rsid w:val="00870CE6"/>
    <w:rsid w:val="00877223"/>
    <w:rsid w:val="008779F9"/>
    <w:rsid w:val="008802D3"/>
    <w:rsid w:val="008B29C7"/>
    <w:rsid w:val="008B4FA5"/>
    <w:rsid w:val="008C29DE"/>
    <w:rsid w:val="008C3601"/>
    <w:rsid w:val="008D23FE"/>
    <w:rsid w:val="008D4010"/>
    <w:rsid w:val="008D6287"/>
    <w:rsid w:val="008E0249"/>
    <w:rsid w:val="008E0450"/>
    <w:rsid w:val="008E0F9E"/>
    <w:rsid w:val="008E10EB"/>
    <w:rsid w:val="008E526D"/>
    <w:rsid w:val="008F3B76"/>
    <w:rsid w:val="009000F3"/>
    <w:rsid w:val="00903A89"/>
    <w:rsid w:val="00905B01"/>
    <w:rsid w:val="00906FB0"/>
    <w:rsid w:val="00912DFA"/>
    <w:rsid w:val="00913E19"/>
    <w:rsid w:val="0092393C"/>
    <w:rsid w:val="009318E5"/>
    <w:rsid w:val="00933C37"/>
    <w:rsid w:val="009352D4"/>
    <w:rsid w:val="00937F04"/>
    <w:rsid w:val="00941A38"/>
    <w:rsid w:val="00942DE0"/>
    <w:rsid w:val="00953F16"/>
    <w:rsid w:val="00957BFF"/>
    <w:rsid w:val="009605DE"/>
    <w:rsid w:val="00961C10"/>
    <w:rsid w:val="00965254"/>
    <w:rsid w:val="00967616"/>
    <w:rsid w:val="009710E4"/>
    <w:rsid w:val="00973DB9"/>
    <w:rsid w:val="009749AD"/>
    <w:rsid w:val="009801B6"/>
    <w:rsid w:val="00987BD1"/>
    <w:rsid w:val="00991689"/>
    <w:rsid w:val="00991AA2"/>
    <w:rsid w:val="009A08C6"/>
    <w:rsid w:val="009B0CD7"/>
    <w:rsid w:val="009B43E6"/>
    <w:rsid w:val="009B663E"/>
    <w:rsid w:val="009C2F9D"/>
    <w:rsid w:val="009C30B5"/>
    <w:rsid w:val="009E5435"/>
    <w:rsid w:val="009E5A0F"/>
    <w:rsid w:val="009E7093"/>
    <w:rsid w:val="009F6393"/>
    <w:rsid w:val="00A000D9"/>
    <w:rsid w:val="00A027EA"/>
    <w:rsid w:val="00A0354D"/>
    <w:rsid w:val="00A20782"/>
    <w:rsid w:val="00A35CBB"/>
    <w:rsid w:val="00A4387E"/>
    <w:rsid w:val="00A5500D"/>
    <w:rsid w:val="00A62EF7"/>
    <w:rsid w:val="00A678AD"/>
    <w:rsid w:val="00A70367"/>
    <w:rsid w:val="00A73679"/>
    <w:rsid w:val="00A73E8E"/>
    <w:rsid w:val="00A757B4"/>
    <w:rsid w:val="00A874CE"/>
    <w:rsid w:val="00AA23C9"/>
    <w:rsid w:val="00AA41D4"/>
    <w:rsid w:val="00AB2855"/>
    <w:rsid w:val="00AB4BAF"/>
    <w:rsid w:val="00AB6786"/>
    <w:rsid w:val="00AC05A7"/>
    <w:rsid w:val="00AC0762"/>
    <w:rsid w:val="00AC433B"/>
    <w:rsid w:val="00AC599A"/>
    <w:rsid w:val="00AC697A"/>
    <w:rsid w:val="00AC73A9"/>
    <w:rsid w:val="00AE5285"/>
    <w:rsid w:val="00AE6DF2"/>
    <w:rsid w:val="00AF11DC"/>
    <w:rsid w:val="00B03775"/>
    <w:rsid w:val="00B06812"/>
    <w:rsid w:val="00B1230E"/>
    <w:rsid w:val="00B13D36"/>
    <w:rsid w:val="00B1587B"/>
    <w:rsid w:val="00B17424"/>
    <w:rsid w:val="00B269A2"/>
    <w:rsid w:val="00B44276"/>
    <w:rsid w:val="00B44EA2"/>
    <w:rsid w:val="00B4700D"/>
    <w:rsid w:val="00B57CAB"/>
    <w:rsid w:val="00B72ED9"/>
    <w:rsid w:val="00B73702"/>
    <w:rsid w:val="00B73BD3"/>
    <w:rsid w:val="00B7571E"/>
    <w:rsid w:val="00B76164"/>
    <w:rsid w:val="00B802D5"/>
    <w:rsid w:val="00B81F1E"/>
    <w:rsid w:val="00B87441"/>
    <w:rsid w:val="00B966B4"/>
    <w:rsid w:val="00BC168F"/>
    <w:rsid w:val="00BC23D4"/>
    <w:rsid w:val="00BC4171"/>
    <w:rsid w:val="00BD2B1E"/>
    <w:rsid w:val="00BE410B"/>
    <w:rsid w:val="00BF35F6"/>
    <w:rsid w:val="00BF7139"/>
    <w:rsid w:val="00BF7927"/>
    <w:rsid w:val="00C03C4C"/>
    <w:rsid w:val="00C05FAA"/>
    <w:rsid w:val="00C070EC"/>
    <w:rsid w:val="00C07B41"/>
    <w:rsid w:val="00C11BB6"/>
    <w:rsid w:val="00C337FF"/>
    <w:rsid w:val="00C37476"/>
    <w:rsid w:val="00C52259"/>
    <w:rsid w:val="00C5314F"/>
    <w:rsid w:val="00C537D2"/>
    <w:rsid w:val="00C63C1B"/>
    <w:rsid w:val="00C7004B"/>
    <w:rsid w:val="00C75B72"/>
    <w:rsid w:val="00C85F72"/>
    <w:rsid w:val="00C8630A"/>
    <w:rsid w:val="00C90A73"/>
    <w:rsid w:val="00C90D0F"/>
    <w:rsid w:val="00CA199F"/>
    <w:rsid w:val="00CC33B6"/>
    <w:rsid w:val="00CD11E2"/>
    <w:rsid w:val="00CD3CBD"/>
    <w:rsid w:val="00CD670C"/>
    <w:rsid w:val="00CE1E7D"/>
    <w:rsid w:val="00CE3760"/>
    <w:rsid w:val="00CE5368"/>
    <w:rsid w:val="00CF1C12"/>
    <w:rsid w:val="00CF3425"/>
    <w:rsid w:val="00CF4DB2"/>
    <w:rsid w:val="00D03864"/>
    <w:rsid w:val="00D104D8"/>
    <w:rsid w:val="00D20F8F"/>
    <w:rsid w:val="00D32EEE"/>
    <w:rsid w:val="00D403AC"/>
    <w:rsid w:val="00D45362"/>
    <w:rsid w:val="00D53725"/>
    <w:rsid w:val="00D55E15"/>
    <w:rsid w:val="00D63E07"/>
    <w:rsid w:val="00D71118"/>
    <w:rsid w:val="00D80D27"/>
    <w:rsid w:val="00D82B05"/>
    <w:rsid w:val="00D830B0"/>
    <w:rsid w:val="00D87EA8"/>
    <w:rsid w:val="00D93C5B"/>
    <w:rsid w:val="00D9435F"/>
    <w:rsid w:val="00DA2C65"/>
    <w:rsid w:val="00DA3793"/>
    <w:rsid w:val="00DA761C"/>
    <w:rsid w:val="00DB2FC3"/>
    <w:rsid w:val="00DB5359"/>
    <w:rsid w:val="00DC3AF7"/>
    <w:rsid w:val="00DC56F1"/>
    <w:rsid w:val="00DC7732"/>
    <w:rsid w:val="00DD06EE"/>
    <w:rsid w:val="00DD4845"/>
    <w:rsid w:val="00DD6391"/>
    <w:rsid w:val="00DE1B3A"/>
    <w:rsid w:val="00DE36C7"/>
    <w:rsid w:val="00DE39D5"/>
    <w:rsid w:val="00DE68B0"/>
    <w:rsid w:val="00DF159A"/>
    <w:rsid w:val="00E0276D"/>
    <w:rsid w:val="00E02881"/>
    <w:rsid w:val="00E045FA"/>
    <w:rsid w:val="00E06833"/>
    <w:rsid w:val="00E173EE"/>
    <w:rsid w:val="00E20E67"/>
    <w:rsid w:val="00E2369F"/>
    <w:rsid w:val="00E25BFD"/>
    <w:rsid w:val="00E25D25"/>
    <w:rsid w:val="00E26E16"/>
    <w:rsid w:val="00E30EAD"/>
    <w:rsid w:val="00E41E4C"/>
    <w:rsid w:val="00E44452"/>
    <w:rsid w:val="00E50B06"/>
    <w:rsid w:val="00E533A3"/>
    <w:rsid w:val="00E62B2E"/>
    <w:rsid w:val="00E6575D"/>
    <w:rsid w:val="00E65C1B"/>
    <w:rsid w:val="00E67323"/>
    <w:rsid w:val="00E73B40"/>
    <w:rsid w:val="00E86824"/>
    <w:rsid w:val="00E90745"/>
    <w:rsid w:val="00E97B48"/>
    <w:rsid w:val="00EB40C8"/>
    <w:rsid w:val="00EC18FB"/>
    <w:rsid w:val="00EC1E5C"/>
    <w:rsid w:val="00ED3C10"/>
    <w:rsid w:val="00ED441F"/>
    <w:rsid w:val="00ED5917"/>
    <w:rsid w:val="00ED71BC"/>
    <w:rsid w:val="00ED7C33"/>
    <w:rsid w:val="00EE1514"/>
    <w:rsid w:val="00EE3D37"/>
    <w:rsid w:val="00EE5F90"/>
    <w:rsid w:val="00EF74C3"/>
    <w:rsid w:val="00F03681"/>
    <w:rsid w:val="00F04029"/>
    <w:rsid w:val="00F05813"/>
    <w:rsid w:val="00F12185"/>
    <w:rsid w:val="00F136F0"/>
    <w:rsid w:val="00F1477B"/>
    <w:rsid w:val="00F21548"/>
    <w:rsid w:val="00F3416B"/>
    <w:rsid w:val="00F35C54"/>
    <w:rsid w:val="00F43254"/>
    <w:rsid w:val="00F46D9E"/>
    <w:rsid w:val="00F56E26"/>
    <w:rsid w:val="00F678E5"/>
    <w:rsid w:val="00F74473"/>
    <w:rsid w:val="00F758A2"/>
    <w:rsid w:val="00F817CD"/>
    <w:rsid w:val="00F82469"/>
    <w:rsid w:val="00F91E22"/>
    <w:rsid w:val="00F941D3"/>
    <w:rsid w:val="00FA1BC1"/>
    <w:rsid w:val="00FA2C86"/>
    <w:rsid w:val="00FA3E53"/>
    <w:rsid w:val="00FA66A3"/>
    <w:rsid w:val="00FB00FC"/>
    <w:rsid w:val="00FC4299"/>
    <w:rsid w:val="00FC42F6"/>
    <w:rsid w:val="00FC6179"/>
    <w:rsid w:val="00FD3274"/>
    <w:rsid w:val="00FD4E58"/>
    <w:rsid w:val="00FD6689"/>
    <w:rsid w:val="00FE1BBB"/>
    <w:rsid w:val="00FE3ED6"/>
    <w:rsid w:val="00FE6AB2"/>
    <w:rsid w:val="00FF3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20F5"/>
  <w15:chartTrackingRefBased/>
  <w15:docId w15:val="{1FD6DA49-EB4E-9149-B1A0-166415F4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14D"/>
    <w:pPr>
      <w:jc w:val="both"/>
    </w:pPr>
    <w:rPr>
      <w:rFonts w:ascii="Times New Roman" w:eastAsia="Times New Roman" w:hAnsi="Times New Roman" w:cs="Times New Roman"/>
      <w:sz w:val="24"/>
      <w:szCs w:val="24"/>
      <w:lang w:eastAsia="en-US"/>
    </w:rPr>
  </w:style>
  <w:style w:type="paragraph" w:styleId="Heading1">
    <w:name w:val="heading 1"/>
    <w:basedOn w:val="Subtitle"/>
    <w:next w:val="Normal"/>
    <w:link w:val="Heading1Char"/>
    <w:uiPriority w:val="9"/>
    <w:qFormat/>
    <w:rsid w:val="007434C9"/>
    <w:pPr>
      <w:numPr>
        <w:ilvl w:val="0"/>
        <w:numId w:val="3"/>
      </w:numPr>
      <w:outlineLvl w:val="0"/>
    </w:pPr>
    <w:rPr>
      <w:b/>
      <w:color w:val="auto"/>
      <w:spacing w:val="0"/>
    </w:rPr>
  </w:style>
  <w:style w:type="paragraph" w:styleId="Heading2">
    <w:name w:val="heading 2"/>
    <w:basedOn w:val="ListParagraph"/>
    <w:next w:val="Normal"/>
    <w:link w:val="Heading2Char"/>
    <w:uiPriority w:val="9"/>
    <w:unhideWhenUsed/>
    <w:qFormat/>
    <w:rsid w:val="007434C9"/>
    <w:pPr>
      <w:numPr>
        <w:ilvl w:val="1"/>
        <w:numId w:val="3"/>
      </w:numPr>
      <w:ind w:left="432"/>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4C9"/>
    <w:rPr>
      <w:rFonts w:ascii="Times New Roman" w:eastAsia="Times New Roman" w:hAnsi="Times New Roman" w:cs="Times New Roman"/>
      <w:b/>
      <w:sz w:val="24"/>
      <w:szCs w:val="24"/>
      <w:lang w:eastAsia="en-US"/>
    </w:rPr>
  </w:style>
  <w:style w:type="paragraph" w:styleId="Title">
    <w:name w:val="Title"/>
    <w:basedOn w:val="Normal"/>
    <w:next w:val="Normal"/>
    <w:link w:val="TitleChar"/>
    <w:uiPriority w:val="10"/>
    <w:qFormat/>
    <w:rsid w:val="00E06833"/>
    <w:pPr>
      <w:spacing w:after="0" w:line="240" w:lineRule="auto"/>
      <w:contextualSpacing/>
      <w:jc w:val="center"/>
    </w:pPr>
    <w:rPr>
      <w:rFonts w:eastAsiaTheme="majorEastAsia" w:cstheme="minorHAnsi"/>
      <w:b/>
      <w:spacing w:val="-10"/>
      <w:kern w:val="28"/>
      <w:sz w:val="28"/>
      <w:szCs w:val="56"/>
    </w:rPr>
  </w:style>
  <w:style w:type="character" w:customStyle="1" w:styleId="TitleChar">
    <w:name w:val="Title Char"/>
    <w:basedOn w:val="DefaultParagraphFont"/>
    <w:link w:val="Title"/>
    <w:uiPriority w:val="10"/>
    <w:rsid w:val="00E06833"/>
    <w:rPr>
      <w:rFonts w:eastAsiaTheme="majorEastAsia" w:cstheme="minorHAnsi"/>
      <w:b/>
      <w:spacing w:val="-10"/>
      <w:kern w:val="28"/>
      <w:sz w:val="28"/>
      <w:szCs w:val="56"/>
    </w:rPr>
  </w:style>
  <w:style w:type="paragraph" w:customStyle="1" w:styleId="Default">
    <w:name w:val="Default"/>
    <w:rsid w:val="00905B01"/>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905B01"/>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05B01"/>
    <w:rPr>
      <w:color w:val="5A5A5A" w:themeColor="text1" w:themeTint="A5"/>
      <w:spacing w:val="15"/>
    </w:rPr>
  </w:style>
  <w:style w:type="paragraph" w:styleId="Header">
    <w:name w:val="header"/>
    <w:basedOn w:val="Normal"/>
    <w:link w:val="HeaderChar"/>
    <w:uiPriority w:val="99"/>
    <w:unhideWhenUsed/>
    <w:rsid w:val="000125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5DF"/>
  </w:style>
  <w:style w:type="paragraph" w:styleId="Footer">
    <w:name w:val="footer"/>
    <w:basedOn w:val="Normal"/>
    <w:link w:val="FooterChar"/>
    <w:uiPriority w:val="99"/>
    <w:unhideWhenUsed/>
    <w:rsid w:val="000125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5DF"/>
  </w:style>
  <w:style w:type="paragraph" w:styleId="Caption">
    <w:name w:val="caption"/>
    <w:basedOn w:val="Normal"/>
    <w:next w:val="Normal"/>
    <w:link w:val="CaptionChar"/>
    <w:uiPriority w:val="35"/>
    <w:unhideWhenUsed/>
    <w:qFormat/>
    <w:rsid w:val="00E67323"/>
    <w:pPr>
      <w:keepNext/>
      <w:spacing w:after="200" w:line="240" w:lineRule="auto"/>
    </w:pPr>
    <w:rPr>
      <w:iCs/>
      <w:color w:val="000000" w:themeColor="text1"/>
      <w:szCs w:val="18"/>
    </w:rPr>
  </w:style>
  <w:style w:type="character" w:customStyle="1" w:styleId="Heading2Char">
    <w:name w:val="Heading 2 Char"/>
    <w:basedOn w:val="DefaultParagraphFont"/>
    <w:link w:val="Heading2"/>
    <w:uiPriority w:val="9"/>
    <w:rsid w:val="007434C9"/>
    <w:rPr>
      <w:rFonts w:ascii="Times New Roman" w:eastAsia="Times New Roman" w:hAnsi="Times New Roman" w:cs="Times New Roman"/>
      <w:b/>
      <w:sz w:val="24"/>
      <w:szCs w:val="24"/>
      <w:lang w:eastAsia="en-US"/>
    </w:rPr>
  </w:style>
  <w:style w:type="paragraph" w:styleId="ListParagraph">
    <w:name w:val="List Paragraph"/>
    <w:basedOn w:val="Normal"/>
    <w:uiPriority w:val="34"/>
    <w:qFormat/>
    <w:rsid w:val="005E78F4"/>
    <w:pPr>
      <w:ind w:left="720"/>
      <w:contextualSpacing/>
    </w:pPr>
  </w:style>
  <w:style w:type="character" w:styleId="CommentReference">
    <w:name w:val="annotation reference"/>
    <w:basedOn w:val="DefaultParagraphFont"/>
    <w:uiPriority w:val="99"/>
    <w:semiHidden/>
    <w:unhideWhenUsed/>
    <w:rsid w:val="00BF35F6"/>
    <w:rPr>
      <w:sz w:val="16"/>
      <w:szCs w:val="16"/>
    </w:rPr>
  </w:style>
  <w:style w:type="paragraph" w:styleId="CommentText">
    <w:name w:val="annotation text"/>
    <w:basedOn w:val="Normal"/>
    <w:link w:val="CommentTextChar"/>
    <w:uiPriority w:val="99"/>
    <w:unhideWhenUsed/>
    <w:rsid w:val="00BF35F6"/>
    <w:pPr>
      <w:spacing w:line="240" w:lineRule="auto"/>
    </w:pPr>
    <w:rPr>
      <w:sz w:val="20"/>
      <w:szCs w:val="20"/>
    </w:rPr>
  </w:style>
  <w:style w:type="character" w:customStyle="1" w:styleId="CommentTextChar">
    <w:name w:val="Comment Text Char"/>
    <w:basedOn w:val="DefaultParagraphFont"/>
    <w:link w:val="CommentText"/>
    <w:uiPriority w:val="99"/>
    <w:rsid w:val="00BF35F6"/>
    <w:rPr>
      <w:sz w:val="20"/>
      <w:szCs w:val="20"/>
    </w:rPr>
  </w:style>
  <w:style w:type="paragraph" w:styleId="CommentSubject">
    <w:name w:val="annotation subject"/>
    <w:basedOn w:val="CommentText"/>
    <w:next w:val="CommentText"/>
    <w:link w:val="CommentSubjectChar"/>
    <w:uiPriority w:val="99"/>
    <w:semiHidden/>
    <w:unhideWhenUsed/>
    <w:rsid w:val="00BF35F6"/>
    <w:rPr>
      <w:b/>
      <w:bCs/>
    </w:rPr>
  </w:style>
  <w:style w:type="character" w:customStyle="1" w:styleId="CommentSubjectChar">
    <w:name w:val="Comment Subject Char"/>
    <w:basedOn w:val="CommentTextChar"/>
    <w:link w:val="CommentSubject"/>
    <w:uiPriority w:val="99"/>
    <w:semiHidden/>
    <w:rsid w:val="00BF35F6"/>
    <w:rPr>
      <w:b/>
      <w:bCs/>
      <w:sz w:val="20"/>
      <w:szCs w:val="20"/>
    </w:rPr>
  </w:style>
  <w:style w:type="paragraph" w:styleId="BalloonText">
    <w:name w:val="Balloon Text"/>
    <w:basedOn w:val="Normal"/>
    <w:link w:val="BalloonTextChar"/>
    <w:uiPriority w:val="99"/>
    <w:semiHidden/>
    <w:unhideWhenUsed/>
    <w:rsid w:val="00BF35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5F6"/>
    <w:rPr>
      <w:rFonts w:ascii="Segoe UI" w:hAnsi="Segoe UI" w:cs="Segoe UI"/>
      <w:sz w:val="18"/>
      <w:szCs w:val="18"/>
    </w:rPr>
  </w:style>
  <w:style w:type="paragraph" w:customStyle="1" w:styleId="Figure">
    <w:name w:val="Figure"/>
    <w:basedOn w:val="Normal"/>
    <w:link w:val="FigureChar"/>
    <w:qFormat/>
    <w:rsid w:val="00C05FAA"/>
    <w:pPr>
      <w:keepNext/>
      <w:spacing w:after="0" w:line="480" w:lineRule="auto"/>
      <w:jc w:val="center"/>
    </w:pPr>
    <w:rPr>
      <w:rFonts w:ascii="Arial" w:hAnsi="Arial" w:cs="Arial"/>
      <w:color w:val="000000" w:themeColor="text1"/>
    </w:rPr>
  </w:style>
  <w:style w:type="character" w:customStyle="1" w:styleId="FigureChar">
    <w:name w:val="Figure Char"/>
    <w:basedOn w:val="DefaultParagraphFont"/>
    <w:link w:val="Figure"/>
    <w:rsid w:val="00C05FAA"/>
    <w:rPr>
      <w:rFonts w:ascii="Arial" w:hAnsi="Arial" w:cs="Arial"/>
      <w:color w:val="000000" w:themeColor="text1"/>
    </w:rPr>
  </w:style>
  <w:style w:type="paragraph" w:customStyle="1" w:styleId="CaptionFig">
    <w:name w:val="CaptionFig"/>
    <w:basedOn w:val="Caption"/>
    <w:link w:val="CaptionFigChar"/>
    <w:qFormat/>
    <w:rsid w:val="00BF7927"/>
    <w:pPr>
      <w:spacing w:after="240"/>
    </w:pPr>
  </w:style>
  <w:style w:type="character" w:customStyle="1" w:styleId="CaptionFigChar">
    <w:name w:val="CaptionFig Char"/>
    <w:basedOn w:val="DefaultParagraphFont"/>
    <w:link w:val="CaptionFig"/>
    <w:rsid w:val="00BF7927"/>
    <w:rPr>
      <w:rFonts w:ascii="Times New Roman" w:eastAsia="Times New Roman" w:hAnsi="Times New Roman" w:cs="Times New Roman"/>
      <w:iCs/>
      <w:color w:val="000000" w:themeColor="text1"/>
      <w:sz w:val="24"/>
      <w:szCs w:val="18"/>
      <w:lang w:eastAsia="en-US"/>
    </w:rPr>
  </w:style>
  <w:style w:type="paragraph" w:customStyle="1" w:styleId="Reference">
    <w:name w:val="Reference"/>
    <w:basedOn w:val="Normal"/>
    <w:link w:val="ReferenceChar"/>
    <w:qFormat/>
    <w:rsid w:val="006C451E"/>
    <w:pPr>
      <w:spacing w:after="180" w:line="240" w:lineRule="auto"/>
    </w:pPr>
    <w:rPr>
      <w:rFonts w:eastAsia="ヒラギノ角ゴ Pro W3" w:cstheme="minorHAnsi"/>
      <w:color w:val="000000"/>
    </w:rPr>
  </w:style>
  <w:style w:type="character" w:customStyle="1" w:styleId="ReferenceChar">
    <w:name w:val="Reference Char"/>
    <w:basedOn w:val="DefaultParagraphFont"/>
    <w:link w:val="Reference"/>
    <w:rsid w:val="006C451E"/>
    <w:rPr>
      <w:rFonts w:eastAsia="ヒラギノ角ゴ Pro W3" w:cstheme="minorHAnsi"/>
      <w:color w:val="000000"/>
      <w:sz w:val="24"/>
      <w:szCs w:val="24"/>
    </w:rPr>
  </w:style>
  <w:style w:type="character" w:styleId="Hyperlink">
    <w:name w:val="Hyperlink"/>
    <w:basedOn w:val="DefaultParagraphFont"/>
    <w:uiPriority w:val="99"/>
    <w:unhideWhenUsed/>
    <w:rsid w:val="000073A0"/>
    <w:rPr>
      <w:color w:val="0563C1" w:themeColor="hyperlink"/>
      <w:u w:val="single"/>
    </w:rPr>
  </w:style>
  <w:style w:type="paragraph" w:styleId="FootnoteText">
    <w:name w:val="footnote text"/>
    <w:link w:val="FootnoteTextChar"/>
    <w:uiPriority w:val="99"/>
    <w:unhideWhenUsed/>
    <w:qFormat/>
    <w:rsid w:val="003C24F7"/>
    <w:pPr>
      <w:spacing w:after="120" w:line="240" w:lineRule="auto"/>
    </w:pPr>
    <w:rPr>
      <w:rFonts w:ascii="Times New Roman" w:hAnsi="Times New Roman" w:cs="Times New Roman"/>
      <w:color w:val="000000" w:themeColor="text1"/>
      <w:sz w:val="20"/>
      <w:szCs w:val="24"/>
    </w:rPr>
  </w:style>
  <w:style w:type="character" w:customStyle="1" w:styleId="FootnoteTextChar">
    <w:name w:val="Footnote Text Char"/>
    <w:basedOn w:val="DefaultParagraphFont"/>
    <w:link w:val="FootnoteText"/>
    <w:uiPriority w:val="99"/>
    <w:rsid w:val="003C24F7"/>
    <w:rPr>
      <w:rFonts w:ascii="Times New Roman" w:hAnsi="Times New Roman" w:cs="Times New Roman"/>
      <w:color w:val="000000" w:themeColor="text1"/>
      <w:sz w:val="20"/>
      <w:szCs w:val="24"/>
    </w:rPr>
  </w:style>
  <w:style w:type="paragraph" w:customStyle="1" w:styleId="Tablesource">
    <w:name w:val="Table_source"/>
    <w:basedOn w:val="Caption"/>
    <w:link w:val="TablesourceChar"/>
    <w:qFormat/>
    <w:rsid w:val="00E67323"/>
    <w:pPr>
      <w:jc w:val="center"/>
    </w:pPr>
    <w:rPr>
      <w:noProof/>
      <w:lang w:eastAsia="zh-CN"/>
    </w:rPr>
  </w:style>
  <w:style w:type="character" w:styleId="FootnoteReference">
    <w:name w:val="footnote reference"/>
    <w:basedOn w:val="DefaultParagraphFont"/>
    <w:uiPriority w:val="99"/>
    <w:unhideWhenUsed/>
    <w:rsid w:val="00C5314F"/>
    <w:rPr>
      <w:vertAlign w:val="superscript"/>
    </w:rPr>
  </w:style>
  <w:style w:type="character" w:customStyle="1" w:styleId="CaptionChar">
    <w:name w:val="Caption Char"/>
    <w:basedOn w:val="DefaultParagraphFont"/>
    <w:link w:val="Caption"/>
    <w:uiPriority w:val="35"/>
    <w:rsid w:val="00E67323"/>
    <w:rPr>
      <w:rFonts w:ascii="Times New Roman" w:eastAsia="Times New Roman" w:hAnsi="Times New Roman" w:cs="Times New Roman"/>
      <w:iCs/>
      <w:color w:val="000000" w:themeColor="text1"/>
      <w:sz w:val="24"/>
      <w:szCs w:val="18"/>
      <w:lang w:eastAsia="en-US"/>
    </w:rPr>
  </w:style>
  <w:style w:type="character" w:customStyle="1" w:styleId="TablesourceChar">
    <w:name w:val="Table_source Char"/>
    <w:basedOn w:val="CaptionChar"/>
    <w:link w:val="Tablesource"/>
    <w:rsid w:val="00E67323"/>
    <w:rPr>
      <w:rFonts w:ascii="Times New Roman" w:eastAsia="Times New Roman" w:hAnsi="Times New Roman" w:cs="Times New Roman"/>
      <w:iCs/>
      <w:noProof/>
      <w:color w:val="000000" w:themeColor="text1"/>
      <w:sz w:val="24"/>
      <w:szCs w:val="18"/>
      <w:lang w:eastAsia="en-US"/>
    </w:rPr>
  </w:style>
  <w:style w:type="paragraph" w:customStyle="1" w:styleId="References">
    <w:name w:val="References"/>
    <w:basedOn w:val="Normal"/>
    <w:qFormat/>
    <w:rsid w:val="008F3B76"/>
    <w:pPr>
      <w:snapToGrid w:val="0"/>
      <w:spacing w:before="80" w:after="120" w:line="240" w:lineRule="auto"/>
      <w:ind w:left="720" w:hanging="720"/>
    </w:pPr>
    <w:rPr>
      <w:rFonts w:eastAsiaTheme="minorEastAsia" w:cstheme="minorBidi"/>
      <w:color w:val="9E9E9E"/>
      <w:sz w:val="20"/>
      <w:lang w:eastAsia="zh-CN"/>
    </w:rPr>
  </w:style>
  <w:style w:type="table" w:styleId="TableGrid">
    <w:name w:val="Table Grid"/>
    <w:basedOn w:val="TableNormal"/>
    <w:uiPriority w:val="39"/>
    <w:rsid w:val="00C07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bleIndent">
    <w:name w:val="DoubleIndent"/>
    <w:basedOn w:val="Normal"/>
    <w:link w:val="DoubleIndentChar"/>
    <w:qFormat/>
    <w:rsid w:val="00C07B41"/>
    <w:pPr>
      <w:snapToGrid w:val="0"/>
      <w:spacing w:before="80" w:after="120" w:line="480" w:lineRule="auto"/>
      <w:ind w:firstLine="720"/>
    </w:pPr>
    <w:rPr>
      <w:rFonts w:eastAsia="ヒラギノ角ゴ Pro W3" w:cstheme="minorBidi"/>
      <w:color w:val="000000"/>
      <w:lang w:eastAsia="zh-CN"/>
    </w:rPr>
  </w:style>
  <w:style w:type="character" w:customStyle="1" w:styleId="DoubleIndentChar">
    <w:name w:val="DoubleIndent Char"/>
    <w:basedOn w:val="DefaultParagraphFont"/>
    <w:link w:val="DoubleIndent"/>
    <w:rsid w:val="00C07B41"/>
    <w:rPr>
      <w:rFonts w:ascii="Times New Roman" w:eastAsia="ヒラギノ角ゴ Pro W3"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1.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cid:image003.png@01D526E3.80BF9AD0" TargetMode="External"/><Relationship Id="rId20" Type="http://schemas.openxmlformats.org/officeDocument/2006/relationships/image" Target="media/image12.png"/><Relationship Id="rId29" Type="http://schemas.openxmlformats.org/officeDocument/2006/relationships/hyperlink" Target="https://www.ucsusa.org/sites/default/files/attach/2016/03/UCS-EW3-Energy-Water-Database.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0.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support.implan.com"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hyperlink" Target="https://www.eia.gov/outlooks/archive/aeo18/tables_ref.php" TargetMode="External"/><Relationship Id="rId30" Type="http://schemas.openxmlformats.org/officeDocument/2006/relationships/hyperlink" Target="https://globalchange.mit.edu/publication/16742" TargetMode="External"/><Relationship Id="rId35" Type="http://schemas.openxmlformats.org/officeDocument/2006/relationships/image" Target="media/image23.emf"/></Relationships>
</file>

<file path=word/_rels/footnotes.xml.rels><?xml version="1.0" encoding="UTF-8" standalone="yes"?>
<Relationships xmlns="http://schemas.openxmlformats.org/package/2006/relationships"><Relationship Id="rId2" Type="http://schemas.openxmlformats.org/officeDocument/2006/relationships/hyperlink" Target="mailto:katapia@mit.edu" TargetMode="External"/><Relationship Id="rId1" Type="http://schemas.openxmlformats.org/officeDocument/2006/relationships/hyperlink" Target="mailto:yuanmei@mi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F1945-2FBD-4017-BC8B-5C9B98CA2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6047</Words>
  <Characters>34474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Massachusetts Institute of Technology</Company>
  <LinksUpToDate>false</LinksUpToDate>
  <CharactersWithSpaces>40441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Yuan</dc:creator>
  <cp:keywords/>
  <dc:description/>
  <cp:lastModifiedBy>Mei Yuan</cp:lastModifiedBy>
  <cp:revision>2</cp:revision>
  <dcterms:created xsi:type="dcterms:W3CDTF">2019-06-20T02:53:00Z</dcterms:created>
  <dcterms:modified xsi:type="dcterms:W3CDTF">2019-06-20T02:53:00Z</dcterms:modified>
</cp:coreProperties>
</file>